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2B4" w:rsidRDefault="00EC32B4" w:rsidP="00EC32B4">
      <w:pPr>
        <w:pStyle w:val="Title"/>
        <w:ind w:right="29"/>
        <w:rPr>
          <w:color w:val="000000"/>
          <w:sz w:val="20"/>
        </w:rPr>
      </w:pPr>
    </w:p>
    <w:p w:rsidR="00EC32B4" w:rsidRDefault="00EC32B4" w:rsidP="00EC32B4">
      <w:pPr>
        <w:pStyle w:val="Title"/>
        <w:ind w:right="29"/>
        <w:rPr>
          <w:color w:val="000000"/>
          <w:sz w:val="20"/>
        </w:rPr>
      </w:pPr>
      <w:r>
        <w:rPr>
          <w:noProof/>
          <w:color w:val="000000"/>
          <w:sz w:val="20"/>
        </w:rPr>
        <w:drawing>
          <wp:anchor distT="0" distB="0" distL="114300" distR="114300" simplePos="0" relativeHeight="251663872" behindDoc="1" locked="0" layoutInCell="0" allowOverlap="1" wp14:anchorId="32033556" wp14:editId="4021E44E">
            <wp:simplePos x="0" y="0"/>
            <wp:positionH relativeFrom="column">
              <wp:posOffset>1980565</wp:posOffset>
            </wp:positionH>
            <wp:positionV relativeFrom="page">
              <wp:posOffset>720090</wp:posOffset>
            </wp:positionV>
            <wp:extent cx="543560" cy="534035"/>
            <wp:effectExtent l="0" t="0" r="8890" b="0"/>
            <wp:wrapSquare wrapText="bothSides"/>
            <wp:docPr id="15" name="Picture 15" descr="2_L_Original_Cropped_76x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_L_Original_Cropped_76x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53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2B4" w:rsidRDefault="00EC32B4" w:rsidP="00EC32B4">
      <w:pPr>
        <w:pStyle w:val="Title"/>
        <w:ind w:right="29"/>
        <w:rPr>
          <w:color w:val="000000"/>
          <w:sz w:val="20"/>
        </w:rPr>
      </w:pPr>
    </w:p>
    <w:p w:rsidR="00EC32B4" w:rsidRDefault="00EC32B4" w:rsidP="00EC32B4">
      <w:pPr>
        <w:pStyle w:val="Title"/>
        <w:ind w:right="29"/>
        <w:rPr>
          <w:color w:val="000000"/>
          <w:sz w:val="20"/>
        </w:rPr>
      </w:pPr>
    </w:p>
    <w:p w:rsidR="00EC32B4" w:rsidRDefault="00EC32B4" w:rsidP="00EC32B4">
      <w:pPr>
        <w:pStyle w:val="Title"/>
        <w:ind w:right="29"/>
        <w:jc w:val="left"/>
        <w:rPr>
          <w:color w:val="000000"/>
          <w:sz w:val="20"/>
        </w:rPr>
      </w:pPr>
    </w:p>
    <w:p w:rsidR="00713266" w:rsidRPr="00A21DAA" w:rsidRDefault="00EC32B4" w:rsidP="001D0427">
      <w:pPr>
        <w:rPr>
          <w:color w:val="000000"/>
          <w:szCs w:val="22"/>
        </w:rPr>
      </w:pPr>
      <w:r>
        <w:rPr>
          <w:noProof/>
          <w:sz w:val="8"/>
        </w:rPr>
        <w:drawing>
          <wp:anchor distT="0" distB="0" distL="114300" distR="114300" simplePos="0" relativeHeight="251666944" behindDoc="1" locked="0" layoutInCell="0" allowOverlap="1" wp14:anchorId="6F4069C9" wp14:editId="152741FA">
            <wp:simplePos x="0" y="0"/>
            <wp:positionH relativeFrom="column">
              <wp:posOffset>3708400</wp:posOffset>
            </wp:positionH>
            <wp:positionV relativeFrom="page">
              <wp:posOffset>720090</wp:posOffset>
            </wp:positionV>
            <wp:extent cx="532765" cy="532765"/>
            <wp:effectExtent l="0" t="0" r="635" b="635"/>
            <wp:wrapTight wrapText="bothSides">
              <wp:wrapPolygon edited="0">
                <wp:start x="0" y="0"/>
                <wp:lineTo x="0" y="20853"/>
                <wp:lineTo x="20853" y="20853"/>
                <wp:lineTo x="20853" y="0"/>
                <wp:lineTo x="0" y="0"/>
              </wp:wrapPolygon>
            </wp:wrapTight>
            <wp:docPr id="18" name="Picture 18" descr="5_G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5_G_Square_75x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rPr>
        <w:drawing>
          <wp:anchor distT="0" distB="0" distL="114300" distR="114300" simplePos="0" relativeHeight="251665920" behindDoc="1" locked="0" layoutInCell="0" allowOverlap="1" wp14:anchorId="1E1AD456" wp14:editId="0650A9C8">
            <wp:simplePos x="0" y="0"/>
            <wp:positionH relativeFrom="column">
              <wp:posOffset>3132455</wp:posOffset>
            </wp:positionH>
            <wp:positionV relativeFrom="page">
              <wp:posOffset>720090</wp:posOffset>
            </wp:positionV>
            <wp:extent cx="532765" cy="532765"/>
            <wp:effectExtent l="0" t="0" r="635" b="635"/>
            <wp:wrapSquare wrapText="bothSides"/>
            <wp:docPr id="17" name="Picture 17" descr="4_I_Paris_4_Cropped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4_I_Paris_4_Cropped_75x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rPr>
        <w:drawing>
          <wp:anchor distT="0" distB="0" distL="114300" distR="114300" simplePos="0" relativeHeight="251664896" behindDoc="1" locked="0" layoutInCell="0" allowOverlap="1" wp14:anchorId="5F8E1C85" wp14:editId="69E9035D">
            <wp:simplePos x="0" y="0"/>
            <wp:positionH relativeFrom="column">
              <wp:posOffset>2556510</wp:posOffset>
            </wp:positionH>
            <wp:positionV relativeFrom="page">
              <wp:posOffset>720090</wp:posOffset>
            </wp:positionV>
            <wp:extent cx="532765" cy="532765"/>
            <wp:effectExtent l="0" t="0" r="635" b="635"/>
            <wp:wrapSquare wrapText="bothSides"/>
            <wp:docPr id="16" name="Picture 16" descr="3_M_Helicopter_Windows_2a_b25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3_M_Helicopter_Windows_2a_b25_75x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8"/>
        </w:rPr>
        <w:drawing>
          <wp:anchor distT="0" distB="0" distL="114300" distR="114300" simplePos="0" relativeHeight="251662848" behindDoc="1" locked="0" layoutInCell="0" allowOverlap="1" wp14:anchorId="2B32F9F4" wp14:editId="5DABC015">
            <wp:simplePos x="0" y="0"/>
            <wp:positionH relativeFrom="column">
              <wp:posOffset>1403985</wp:posOffset>
            </wp:positionH>
            <wp:positionV relativeFrom="page">
              <wp:posOffset>720090</wp:posOffset>
            </wp:positionV>
            <wp:extent cx="532765" cy="532765"/>
            <wp:effectExtent l="0" t="0" r="635" b="635"/>
            <wp:wrapSquare wrapText="bothSides"/>
            <wp:docPr id="14" name="Picture 14" descr="1_P_Square_75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_P_Square_75x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765" cy="53276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2660" w:type="dxa"/>
        <w:tblBorders>
          <w:top w:val="threeDEmboss" w:sz="24" w:space="0" w:color="auto"/>
          <w:left w:val="threeDEmboss" w:sz="24" w:space="0" w:color="auto"/>
          <w:bottom w:val="threeDEngrave" w:sz="24" w:space="0" w:color="auto"/>
          <w:right w:val="threeDEngrave" w:sz="24" w:space="0" w:color="auto"/>
        </w:tblBorders>
        <w:tblLayout w:type="fixed"/>
        <w:tblLook w:val="0000" w:firstRow="0" w:lastRow="0" w:firstColumn="0" w:lastColumn="0" w:noHBand="0" w:noVBand="0"/>
      </w:tblPr>
      <w:tblGrid>
        <w:gridCol w:w="3827"/>
      </w:tblGrid>
      <w:tr w:rsidR="00713266" w:rsidTr="00483948">
        <w:trPr>
          <w:trHeight w:val="850"/>
        </w:trPr>
        <w:tc>
          <w:tcPr>
            <w:tcW w:w="3827" w:type="dxa"/>
            <w:shd w:val="pct5" w:color="auto" w:fill="FFFFFF"/>
          </w:tcPr>
          <w:p w:rsidR="00713266" w:rsidRPr="00905C6A" w:rsidRDefault="00713266" w:rsidP="00041FD9">
            <w:pPr>
              <w:pStyle w:val="Subtitle"/>
              <w:tabs>
                <w:tab w:val="left" w:pos="709"/>
              </w:tabs>
              <w:ind w:left="459" w:hanging="459"/>
              <w:rPr>
                <w:color w:val="000000"/>
                <w:sz w:val="16"/>
                <w:szCs w:val="16"/>
              </w:rPr>
            </w:pPr>
          </w:p>
          <w:p w:rsidR="00EC32B4" w:rsidRDefault="008017D3" w:rsidP="00905C6A">
            <w:pPr>
              <w:pStyle w:val="Heading1"/>
              <w:rPr>
                <w:sz w:val="32"/>
                <w:szCs w:val="32"/>
              </w:rPr>
            </w:pPr>
            <w:r>
              <w:rPr>
                <w:sz w:val="32"/>
                <w:szCs w:val="32"/>
              </w:rPr>
              <w:t>Professional PLM</w:t>
            </w:r>
          </w:p>
          <w:p w:rsidR="00905C6A" w:rsidRPr="00905C6A" w:rsidRDefault="00905C6A" w:rsidP="00905C6A">
            <w:pPr>
              <w:rPr>
                <w:sz w:val="8"/>
                <w:szCs w:val="8"/>
              </w:rPr>
            </w:pPr>
          </w:p>
          <w:p w:rsidR="00905C6A" w:rsidRPr="00905C6A" w:rsidRDefault="008017D3" w:rsidP="008017D3">
            <w:pPr>
              <w:pStyle w:val="Heading1"/>
              <w:spacing w:after="180"/>
              <w:rPr>
                <w:sz w:val="16"/>
                <w:szCs w:val="16"/>
              </w:rPr>
            </w:pPr>
            <w:r>
              <w:rPr>
                <w:sz w:val="32"/>
                <w:szCs w:val="32"/>
              </w:rPr>
              <w:t>International</w:t>
            </w:r>
            <w:r w:rsidR="00905C6A">
              <w:rPr>
                <w:sz w:val="32"/>
                <w:szCs w:val="32"/>
              </w:rPr>
              <w:t xml:space="preserve"> </w:t>
            </w:r>
            <w:r w:rsidR="00EC32B4">
              <w:rPr>
                <w:sz w:val="32"/>
                <w:szCs w:val="32"/>
              </w:rPr>
              <w:t>Pa</w:t>
            </w:r>
            <w:r>
              <w:rPr>
                <w:sz w:val="32"/>
                <w:szCs w:val="32"/>
              </w:rPr>
              <w:t>nel</w:t>
            </w:r>
          </w:p>
        </w:tc>
      </w:tr>
    </w:tbl>
    <w:p w:rsidR="00713266" w:rsidRPr="00C35805" w:rsidRDefault="00713266" w:rsidP="00713266">
      <w:pPr>
        <w:rPr>
          <w:sz w:val="18"/>
          <w:szCs w:val="18"/>
        </w:rPr>
      </w:pPr>
    </w:p>
    <w:p w:rsidR="00527585" w:rsidRPr="00C35805" w:rsidRDefault="00527585" w:rsidP="00AD78F8"/>
    <w:p w:rsidR="00520039" w:rsidRPr="00C35805" w:rsidRDefault="00520039" w:rsidP="00AD78F8"/>
    <w:p w:rsidR="00713266" w:rsidRPr="003B0E94" w:rsidRDefault="00FF68DF" w:rsidP="00FC6F07">
      <w:pPr>
        <w:pStyle w:val="Heading2"/>
      </w:pPr>
      <w:r w:rsidRPr="003B0E94">
        <w:t>A Profession for PLM</w:t>
      </w:r>
    </w:p>
    <w:p w:rsidR="007D17B9" w:rsidRDefault="007D17B9" w:rsidP="00CB4542">
      <w:r>
        <w:t xml:space="preserve">The concept of </w:t>
      </w:r>
      <w:r w:rsidR="00FF68DF">
        <w:t>creating a recognised</w:t>
      </w:r>
      <w:r>
        <w:t xml:space="preserve"> PLM Profession has generated a lot of support since it was first raised in </w:t>
      </w:r>
      <w:r w:rsidRPr="00D7708F">
        <w:rPr>
          <w:rFonts w:ascii="Arial" w:hAnsi="Arial" w:cs="Arial"/>
          <w:sz w:val="20"/>
        </w:rPr>
        <w:t>2017</w:t>
      </w:r>
      <w:r>
        <w:t xml:space="preserve">, </w:t>
      </w:r>
      <w:r w:rsidR="008F64F1">
        <w:t xml:space="preserve">and the Initiative has been </w:t>
      </w:r>
      <w:proofErr w:type="spellStart"/>
      <w:r w:rsidR="008F64F1">
        <w:t>remotivated</w:t>
      </w:r>
      <w:proofErr w:type="spellEnd"/>
      <w:r w:rsidR="008F64F1">
        <w:t xml:space="preserve"> in 2025</w:t>
      </w:r>
      <w:r>
        <w:t>.</w:t>
      </w:r>
    </w:p>
    <w:p w:rsidR="007D17B9" w:rsidRPr="00AB5630" w:rsidRDefault="007D17B9" w:rsidP="00CB4542">
      <w:pPr>
        <w:rPr>
          <w:sz w:val="16"/>
          <w:szCs w:val="16"/>
        </w:rPr>
      </w:pPr>
    </w:p>
    <w:p w:rsidR="00520039" w:rsidRDefault="007D17B9" w:rsidP="00866292">
      <w:pPr>
        <w:rPr>
          <w:rFonts w:ascii="Candara" w:hAnsi="Candara"/>
        </w:rPr>
      </w:pPr>
      <w:r>
        <w:rPr>
          <w:rFonts w:ascii="Candara" w:hAnsi="Candara"/>
          <w:noProof/>
        </w:rPr>
        <w:drawing>
          <wp:anchor distT="0" distB="0" distL="144145" distR="215900" simplePos="0" relativeHeight="251668992" behindDoc="0" locked="0" layoutInCell="1" allowOverlap="1" wp14:anchorId="3715422B" wp14:editId="45983414">
            <wp:simplePos x="0" y="0"/>
            <wp:positionH relativeFrom="column">
              <wp:posOffset>267335</wp:posOffset>
            </wp:positionH>
            <wp:positionV relativeFrom="paragraph">
              <wp:posOffset>80010</wp:posOffset>
            </wp:positionV>
            <wp:extent cx="1421765" cy="946785"/>
            <wp:effectExtent l="38100" t="38100" r="45085" b="438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essional_PLM_Compact_Logo_249x166.jpg"/>
                    <pic:cNvPicPr/>
                  </pic:nvPicPr>
                  <pic:blipFill>
                    <a:blip r:embed="rId14">
                      <a:extLst>
                        <a:ext uri="{28A0092B-C50C-407E-A947-70E740481C1C}">
                          <a14:useLocalDpi xmlns:a14="http://schemas.microsoft.com/office/drawing/2010/main" val="0"/>
                        </a:ext>
                      </a:extLst>
                    </a:blip>
                    <a:stretch>
                      <a:fillRect/>
                    </a:stretch>
                  </pic:blipFill>
                  <pic:spPr>
                    <a:xfrm>
                      <a:off x="0" y="0"/>
                      <a:ext cx="1421765" cy="946785"/>
                    </a:xfrm>
                    <a:prstGeom prst="rect">
                      <a:avLst/>
                    </a:prstGeom>
                    <a:ln w="31750">
                      <a:solidFill>
                        <a:srgbClr val="07456C"/>
                      </a:solidFill>
                    </a:ln>
                  </pic:spPr>
                </pic:pic>
              </a:graphicData>
            </a:graphic>
            <wp14:sizeRelH relativeFrom="margin">
              <wp14:pctWidth>0</wp14:pctWidth>
            </wp14:sizeRelH>
            <wp14:sizeRelV relativeFrom="margin">
              <wp14:pctHeight>0</wp14:pctHeight>
            </wp14:sizeRelV>
          </wp:anchor>
        </w:drawing>
      </w:r>
    </w:p>
    <w:p w:rsidR="00345BED" w:rsidRDefault="007D17B9" w:rsidP="00CB4542">
      <w:r w:rsidRPr="007D17B9">
        <w:t>The benefits in terms of recognition of PLM skills, higher standards, faster adoption and industry focus are generally accepted, but the method of getting there still needs discussion.</w:t>
      </w:r>
    </w:p>
    <w:p w:rsidR="00DA3A59" w:rsidRDefault="00DA3A59" w:rsidP="00345BED">
      <w:pPr>
        <w:ind w:right="-23"/>
        <w:rPr>
          <w:rFonts w:ascii="Candara" w:hAnsi="Candara"/>
        </w:rPr>
      </w:pPr>
    </w:p>
    <w:p w:rsidR="00FF68DF" w:rsidRDefault="00FF68DF" w:rsidP="00345BED">
      <w:pPr>
        <w:ind w:right="-23"/>
        <w:rPr>
          <w:rFonts w:ascii="Candara" w:hAnsi="Candara"/>
        </w:rPr>
      </w:pPr>
    </w:p>
    <w:p w:rsidR="00FF68DF" w:rsidRDefault="00FF68DF" w:rsidP="00CB4542">
      <w:r>
        <w:t>The PLM Interest</w:t>
      </w:r>
      <w:r w:rsidR="000178F9">
        <w:t xml:space="preserve"> Group is </w:t>
      </w:r>
      <w:r>
        <w:t>host</w:t>
      </w:r>
      <w:r w:rsidR="000178F9">
        <w:t>ing</w:t>
      </w:r>
      <w:r>
        <w:t xml:space="preserve"> an International Panel of practitioners and organisations </w:t>
      </w:r>
      <w:r w:rsidR="003A1D73">
        <w:t>to</w:t>
      </w:r>
      <w:r>
        <w:t xml:space="preserve"> review the aims and practicalities</w:t>
      </w:r>
      <w:r w:rsidR="00D7708F">
        <w:t>,</w:t>
      </w:r>
      <w:r>
        <w:t xml:space="preserve"> and </w:t>
      </w:r>
      <w:r w:rsidR="003A1D73">
        <w:t>to</w:t>
      </w:r>
      <w:r>
        <w:t xml:space="preserve"> provide an agreed basis for moving forward.</w:t>
      </w:r>
    </w:p>
    <w:p w:rsidR="00AE5C24" w:rsidRPr="00AD78F8" w:rsidRDefault="00AE5C24" w:rsidP="00AE5C24">
      <w:pPr>
        <w:ind w:right="-23"/>
        <w:rPr>
          <w:rFonts w:ascii="Candara" w:hAnsi="Candara"/>
          <w:sz w:val="32"/>
          <w:szCs w:val="32"/>
        </w:rPr>
      </w:pPr>
    </w:p>
    <w:p w:rsidR="00AE5C24" w:rsidRPr="003B0E94" w:rsidRDefault="00AE5C24" w:rsidP="00D7708F">
      <w:pPr>
        <w:pStyle w:val="Heading2"/>
      </w:pPr>
      <w:r w:rsidRPr="003B0E94">
        <w:t>Global Interest</w:t>
      </w:r>
    </w:p>
    <w:p w:rsidR="00CB4542" w:rsidRDefault="00CB4542" w:rsidP="00CB4542">
      <w:r>
        <w:t>Over the course of the Initiative, d</w:t>
      </w:r>
      <w:r w:rsidRPr="00CB4542">
        <w:t xml:space="preserve">iscussions on LinkedIn about forming </w:t>
      </w:r>
      <w:r w:rsidR="007853D2">
        <w:t>a profession</w:t>
      </w:r>
      <w:r w:rsidRPr="00CB4542">
        <w:t xml:space="preserve"> have been liked by practitioners from over 30 countries</w:t>
      </w:r>
      <w:r>
        <w:t xml:space="preserve">, and participants from both sides of the Atlantic have participated in the workshops.  </w:t>
      </w:r>
    </w:p>
    <w:p w:rsidR="00CB4542" w:rsidRPr="00F164C6" w:rsidRDefault="00CB4542" w:rsidP="00CB4542">
      <w:pPr>
        <w:rPr>
          <w:sz w:val="20"/>
        </w:rPr>
      </w:pPr>
    </w:p>
    <w:p w:rsidR="00CB4542" w:rsidRDefault="00BC6857" w:rsidP="00CB4542">
      <w:r>
        <w:t xml:space="preserve">This has implications for the PLM </w:t>
      </w:r>
      <w:r w:rsidR="00CB4542" w:rsidRPr="00CB4542">
        <w:t xml:space="preserve">Body of Knowledge.  </w:t>
      </w:r>
      <w:r>
        <w:t xml:space="preserve"> </w:t>
      </w:r>
      <w:r w:rsidR="00CB4542" w:rsidRPr="00CB4542">
        <w:t>The principles, guidelines, standards and methods to produce Professional PLM are universal - they will apply to every professional practitioner, and to every implementation that is run in a professional way.</w:t>
      </w:r>
      <w:r>
        <w:t xml:space="preserve">  </w:t>
      </w:r>
      <w:r w:rsidR="00CB4542" w:rsidRPr="00CB4542">
        <w:t xml:space="preserve">PLM is a global activity, and PLM specialists </w:t>
      </w:r>
      <w:r>
        <w:t xml:space="preserve">will </w:t>
      </w:r>
      <w:r w:rsidR="00CB4542" w:rsidRPr="00CB4542">
        <w:t>be able to apply their skills in whichever country has the need, irrespective of where those skills were learned.</w:t>
      </w:r>
    </w:p>
    <w:p w:rsidR="00AD78F8" w:rsidRPr="00AD78F8" w:rsidRDefault="00AD78F8" w:rsidP="00AD78F8">
      <w:pPr>
        <w:ind w:right="-23"/>
        <w:rPr>
          <w:rFonts w:ascii="Candara" w:hAnsi="Candara"/>
          <w:sz w:val="32"/>
          <w:szCs w:val="32"/>
        </w:rPr>
      </w:pPr>
    </w:p>
    <w:p w:rsidR="00AE5C24" w:rsidRPr="003B0E94" w:rsidRDefault="00084FD6" w:rsidP="00D7708F">
      <w:pPr>
        <w:pStyle w:val="Heading2"/>
      </w:pPr>
      <w:r>
        <w:t>Global Vision</w:t>
      </w:r>
    </w:p>
    <w:p w:rsidR="00837C58" w:rsidRDefault="00084FD6" w:rsidP="00837C58">
      <w:r>
        <w:t>The PLM industry as a whole should have a Vision of where it is heading, and where it will be in 10 or 20 years' time.</w:t>
      </w:r>
    </w:p>
    <w:p w:rsidR="00084FD6" w:rsidRPr="00F164C6" w:rsidRDefault="00084FD6" w:rsidP="00837C58">
      <w:pPr>
        <w:rPr>
          <w:sz w:val="20"/>
        </w:rPr>
      </w:pPr>
    </w:p>
    <w:p w:rsidR="00084FD6" w:rsidRDefault="00084FD6" w:rsidP="00084FD6">
      <w:r>
        <w:t>The Professional PLM Initiative supports this, by raising PLM onto the same level as existing professions, so that:-</w:t>
      </w:r>
    </w:p>
    <w:p w:rsidR="00084FD6" w:rsidRPr="00F164C6" w:rsidRDefault="00084FD6" w:rsidP="00084FD6">
      <w:pPr>
        <w:rPr>
          <w:sz w:val="20"/>
        </w:rPr>
      </w:pPr>
    </w:p>
    <w:p w:rsidR="00084FD6" w:rsidRPr="00410263" w:rsidRDefault="00084FD6" w:rsidP="00084FD6">
      <w:pPr>
        <w:tabs>
          <w:tab w:val="left" w:pos="8364"/>
        </w:tabs>
        <w:ind w:left="142" w:right="402"/>
        <w:rPr>
          <w:i/>
        </w:rPr>
      </w:pPr>
      <w:r w:rsidRPr="00410263">
        <w:rPr>
          <w:i/>
        </w:rPr>
        <w:t>"The discipline of PLM is recognised as a profession throughout the business world.  It is championed by a proactive Professional Body that acts on behalf of its members and of the industry as a whole; and supports and accredits a global education infrastructure that provides a career path from leaving school to the top of a company."</w:t>
      </w:r>
    </w:p>
    <w:p w:rsidR="00084FD6" w:rsidRDefault="00084FD6" w:rsidP="00084FD6"/>
    <w:p w:rsidR="00FA780A" w:rsidRDefault="00FA780A" w:rsidP="00837C58">
      <w:pPr>
        <w:sectPr w:rsidR="00FA780A" w:rsidSect="001565B6">
          <w:headerReference w:type="default" r:id="rId15"/>
          <w:footerReference w:type="default" r:id="rId16"/>
          <w:footerReference w:type="first" r:id="rId17"/>
          <w:pgSz w:w="11907" w:h="16840" w:code="9"/>
          <w:pgMar w:top="907" w:right="1469" w:bottom="1021" w:left="1814" w:header="720" w:footer="720" w:gutter="0"/>
          <w:cols w:space="720"/>
          <w:titlePg/>
          <w:docGrid w:linePitch="299"/>
        </w:sectPr>
      </w:pPr>
    </w:p>
    <w:p w:rsidR="00837C58" w:rsidRDefault="00837C58" w:rsidP="00837C58"/>
    <w:p w:rsidR="0046682A" w:rsidRDefault="0046682A" w:rsidP="00837C58"/>
    <w:p w:rsidR="00366094" w:rsidRDefault="00366094" w:rsidP="00837C58"/>
    <w:p w:rsidR="00483948" w:rsidRPr="003B0E94" w:rsidRDefault="00483948" w:rsidP="00D7708F">
      <w:pPr>
        <w:pStyle w:val="Heading2"/>
      </w:pPr>
      <w:r>
        <w:t>The Need</w:t>
      </w:r>
    </w:p>
    <w:p w:rsidR="00483948" w:rsidRPr="00D7708F" w:rsidRDefault="00483948" w:rsidP="00D7708F">
      <w:r w:rsidRPr="00D7708F">
        <w:t xml:space="preserve">What we don't have today is a clear career path for PLM practitioners. There is no </w:t>
      </w:r>
      <w:r w:rsidR="00CB4542">
        <w:t xml:space="preserve">industry-wide </w:t>
      </w:r>
      <w:r w:rsidRPr="00D7708F">
        <w:t xml:space="preserve">agreement about:- </w:t>
      </w:r>
    </w:p>
    <w:p w:rsidR="00483948" w:rsidRPr="00E2620B" w:rsidRDefault="00483948" w:rsidP="00483948">
      <w:pPr>
        <w:rPr>
          <w:sz w:val="16"/>
          <w:szCs w:val="16"/>
        </w:rPr>
      </w:pPr>
    </w:p>
    <w:p w:rsidR="00483948" w:rsidRPr="00CB4542" w:rsidRDefault="00483948" w:rsidP="00483948">
      <w:pPr>
        <w:pStyle w:val="Subtitle"/>
        <w:numPr>
          <w:ilvl w:val="0"/>
          <w:numId w:val="7"/>
        </w:numPr>
        <w:spacing w:before="60" w:after="120"/>
        <w:ind w:left="1134" w:right="170" w:hanging="425"/>
        <w:jc w:val="both"/>
        <w:rPr>
          <w:rFonts w:cs="Arial"/>
          <w:b w:val="0"/>
          <w:color w:val="000000"/>
          <w:sz w:val="22"/>
          <w:szCs w:val="22"/>
        </w:rPr>
      </w:pPr>
      <w:r w:rsidRPr="00CB4542">
        <w:rPr>
          <w:rFonts w:cs="Arial"/>
          <w:b w:val="0"/>
          <w:color w:val="000000"/>
          <w:sz w:val="22"/>
          <w:szCs w:val="22"/>
        </w:rPr>
        <w:t xml:space="preserve">what a PLM Professional should know </w:t>
      </w:r>
    </w:p>
    <w:p w:rsidR="00483948" w:rsidRPr="00CB4542" w:rsidRDefault="00483948" w:rsidP="00483948">
      <w:pPr>
        <w:pStyle w:val="Subtitle"/>
        <w:numPr>
          <w:ilvl w:val="0"/>
          <w:numId w:val="7"/>
        </w:numPr>
        <w:spacing w:before="60" w:after="120"/>
        <w:ind w:left="1134" w:right="170" w:hanging="425"/>
        <w:jc w:val="both"/>
        <w:rPr>
          <w:rFonts w:cs="Arial"/>
          <w:b w:val="0"/>
          <w:color w:val="000000"/>
          <w:sz w:val="22"/>
          <w:szCs w:val="22"/>
        </w:rPr>
      </w:pPr>
      <w:r w:rsidRPr="00CB4542">
        <w:rPr>
          <w:rFonts w:cs="Arial"/>
          <w:b w:val="0"/>
          <w:color w:val="000000"/>
          <w:sz w:val="22"/>
          <w:szCs w:val="22"/>
        </w:rPr>
        <w:t xml:space="preserve">the specific skills and experience that a PLM Professional should have </w:t>
      </w:r>
    </w:p>
    <w:p w:rsidR="00483948" w:rsidRPr="00CB4542" w:rsidRDefault="00483948" w:rsidP="00483948">
      <w:pPr>
        <w:pStyle w:val="Subtitle"/>
        <w:numPr>
          <w:ilvl w:val="0"/>
          <w:numId w:val="7"/>
        </w:numPr>
        <w:spacing w:before="60" w:after="120"/>
        <w:ind w:left="1134" w:right="170" w:hanging="425"/>
        <w:jc w:val="both"/>
        <w:rPr>
          <w:rFonts w:cs="Arial"/>
          <w:b w:val="0"/>
          <w:color w:val="000000"/>
          <w:sz w:val="22"/>
          <w:szCs w:val="22"/>
        </w:rPr>
      </w:pPr>
      <w:r w:rsidRPr="00CB4542">
        <w:rPr>
          <w:rFonts w:cs="Arial"/>
          <w:b w:val="0"/>
          <w:color w:val="000000"/>
          <w:sz w:val="22"/>
          <w:szCs w:val="22"/>
        </w:rPr>
        <w:t xml:space="preserve">the tools a PLM Professional should be able to use </w:t>
      </w:r>
    </w:p>
    <w:p w:rsidR="00483948" w:rsidRPr="00CB4542" w:rsidRDefault="00483948" w:rsidP="00483948">
      <w:pPr>
        <w:pStyle w:val="Subtitle"/>
        <w:numPr>
          <w:ilvl w:val="0"/>
          <w:numId w:val="7"/>
        </w:numPr>
        <w:spacing w:before="60" w:after="120"/>
        <w:ind w:left="1134" w:right="170" w:hanging="425"/>
        <w:jc w:val="both"/>
        <w:rPr>
          <w:rFonts w:cs="Arial"/>
          <w:b w:val="0"/>
          <w:color w:val="000000"/>
          <w:sz w:val="22"/>
          <w:szCs w:val="22"/>
        </w:rPr>
      </w:pPr>
      <w:r w:rsidRPr="00CB4542">
        <w:rPr>
          <w:rFonts w:cs="Arial"/>
          <w:b w:val="0"/>
          <w:color w:val="000000"/>
          <w:sz w:val="22"/>
          <w:szCs w:val="22"/>
        </w:rPr>
        <w:t xml:space="preserve">the different PLM Professional roles and job titles </w:t>
      </w:r>
    </w:p>
    <w:p w:rsidR="00483948" w:rsidRPr="00CB4542" w:rsidRDefault="00483948" w:rsidP="00483948">
      <w:pPr>
        <w:pStyle w:val="Subtitle"/>
        <w:numPr>
          <w:ilvl w:val="0"/>
          <w:numId w:val="7"/>
        </w:numPr>
        <w:spacing w:before="60" w:after="120"/>
        <w:ind w:left="1134" w:right="170" w:hanging="425"/>
        <w:jc w:val="both"/>
        <w:rPr>
          <w:rFonts w:cs="Arial"/>
          <w:b w:val="0"/>
          <w:color w:val="000000"/>
          <w:sz w:val="22"/>
          <w:szCs w:val="22"/>
        </w:rPr>
      </w:pPr>
      <w:r w:rsidRPr="00CB4542">
        <w:rPr>
          <w:rFonts w:cs="Arial"/>
          <w:b w:val="0"/>
          <w:color w:val="000000"/>
          <w:sz w:val="22"/>
          <w:szCs w:val="22"/>
        </w:rPr>
        <w:t xml:space="preserve">what constitutes a senior PLM Professional </w:t>
      </w:r>
    </w:p>
    <w:p w:rsidR="00483948" w:rsidRPr="00CB4542" w:rsidRDefault="00483948" w:rsidP="00483948">
      <w:pPr>
        <w:pStyle w:val="Subtitle"/>
        <w:numPr>
          <w:ilvl w:val="0"/>
          <w:numId w:val="7"/>
        </w:numPr>
        <w:spacing w:before="60" w:after="120"/>
        <w:ind w:left="1134" w:right="170" w:hanging="425"/>
        <w:jc w:val="both"/>
        <w:rPr>
          <w:rFonts w:cs="Arial"/>
          <w:b w:val="0"/>
          <w:color w:val="000000"/>
          <w:sz w:val="22"/>
          <w:szCs w:val="22"/>
        </w:rPr>
      </w:pPr>
      <w:r w:rsidRPr="00CB4542">
        <w:rPr>
          <w:rFonts w:cs="Arial"/>
          <w:b w:val="0"/>
          <w:color w:val="000000"/>
          <w:sz w:val="22"/>
          <w:szCs w:val="22"/>
        </w:rPr>
        <w:t xml:space="preserve">how to evaluate a candidate for a PLM position </w:t>
      </w:r>
    </w:p>
    <w:p w:rsidR="00483948" w:rsidRPr="00D7708F" w:rsidRDefault="00483948" w:rsidP="00483948">
      <w:pPr>
        <w:pStyle w:val="Subtitle"/>
        <w:numPr>
          <w:ilvl w:val="0"/>
          <w:numId w:val="7"/>
        </w:numPr>
        <w:spacing w:before="60" w:after="120"/>
        <w:ind w:left="1134" w:right="170" w:hanging="425"/>
        <w:jc w:val="both"/>
        <w:rPr>
          <w:rFonts w:cs="Arial"/>
          <w:b w:val="0"/>
          <w:color w:val="505050"/>
          <w:sz w:val="24"/>
          <w:szCs w:val="24"/>
        </w:rPr>
      </w:pPr>
      <w:r w:rsidRPr="00CB4542">
        <w:rPr>
          <w:rFonts w:cs="Arial"/>
          <w:b w:val="0"/>
          <w:color w:val="000000"/>
          <w:sz w:val="22"/>
          <w:szCs w:val="22"/>
        </w:rPr>
        <w:t>how to demonstrate PLM expertise</w:t>
      </w:r>
      <w:r w:rsidRPr="00D7708F">
        <w:rPr>
          <w:rFonts w:cs="Arial"/>
          <w:b w:val="0"/>
          <w:color w:val="505050"/>
          <w:sz w:val="24"/>
          <w:szCs w:val="24"/>
        </w:rPr>
        <w:t xml:space="preserve"> </w:t>
      </w:r>
    </w:p>
    <w:p w:rsidR="00483948" w:rsidRPr="00E2620B" w:rsidRDefault="00483948" w:rsidP="00483948">
      <w:pPr>
        <w:rPr>
          <w:sz w:val="16"/>
          <w:szCs w:val="16"/>
        </w:rPr>
      </w:pPr>
    </w:p>
    <w:p w:rsidR="00483948" w:rsidRDefault="00483948" w:rsidP="00483948">
      <w:pPr>
        <w:rPr>
          <w:rFonts w:cs="Arial"/>
          <w:color w:val="000000"/>
          <w:spacing w:val="-4"/>
        </w:rPr>
      </w:pPr>
      <w:r>
        <w:t xml:space="preserve">This creates a tremendous overhead for user companies, who have to train and develop their PLM staff from scratch without any defined syllabus or certified external training providers.  For large corporations planning for the future, it is a continual challenge to ensure that in </w:t>
      </w:r>
      <w:r w:rsidRPr="00FA050C">
        <w:rPr>
          <w:rFonts w:cs="Arial"/>
          <w:color w:val="000000"/>
          <w:spacing w:val="-4"/>
        </w:rPr>
        <w:t xml:space="preserve">5 years’ time </w:t>
      </w:r>
      <w:r>
        <w:rPr>
          <w:rFonts w:cs="Arial"/>
          <w:color w:val="000000"/>
          <w:spacing w:val="-4"/>
        </w:rPr>
        <w:t xml:space="preserve">there will be </w:t>
      </w:r>
      <w:r w:rsidRPr="00FA050C">
        <w:rPr>
          <w:rFonts w:cs="Arial"/>
          <w:color w:val="000000"/>
          <w:spacing w:val="-4"/>
        </w:rPr>
        <w:t>enough skilled people to run PLM</w:t>
      </w:r>
      <w:r>
        <w:rPr>
          <w:rFonts w:cs="Arial"/>
          <w:color w:val="000000"/>
          <w:spacing w:val="-4"/>
        </w:rPr>
        <w:t xml:space="preserve"> properly.</w:t>
      </w:r>
    </w:p>
    <w:p w:rsidR="00483948" w:rsidRDefault="00483948" w:rsidP="00483948">
      <w:pPr>
        <w:rPr>
          <w:rFonts w:cs="Arial"/>
          <w:color w:val="000000"/>
          <w:spacing w:val="-4"/>
        </w:rPr>
      </w:pPr>
    </w:p>
    <w:p w:rsidR="00FF68DF" w:rsidRPr="007853D2" w:rsidRDefault="00FF68DF" w:rsidP="00EF3FB1">
      <w:pPr>
        <w:ind w:right="-23"/>
        <w:rPr>
          <w:rFonts w:ascii="Candara" w:hAnsi="Candara"/>
          <w:sz w:val="24"/>
          <w:szCs w:val="24"/>
        </w:rPr>
      </w:pPr>
    </w:p>
    <w:p w:rsidR="00CB4542" w:rsidRPr="003B0E94" w:rsidRDefault="00CB4542" w:rsidP="00CB4542">
      <w:pPr>
        <w:pStyle w:val="Heading2"/>
      </w:pPr>
      <w:r>
        <w:t>The Benefits</w:t>
      </w:r>
    </w:p>
    <w:p w:rsidR="00837C58" w:rsidRPr="00C17CD7" w:rsidRDefault="00837C58" w:rsidP="007853D2">
      <w:r>
        <w:t>A profession will enhance the profile of PLM</w:t>
      </w:r>
      <w:r w:rsidRPr="00C17CD7">
        <w:t xml:space="preserve"> amongst other business disciplines; define standardised levels of expertise; and </w:t>
      </w:r>
      <w:r>
        <w:t>provide a worldwide voice for PLM development</w:t>
      </w:r>
      <w:r w:rsidRPr="00C17CD7">
        <w:t>.</w:t>
      </w:r>
      <w:r>
        <w:t xml:space="preserve">  It will also raise the overall standard of PLM implementation by creating a neutral model of best practice. </w:t>
      </w:r>
    </w:p>
    <w:p w:rsidR="00AD78F8" w:rsidRPr="00AD78F8" w:rsidRDefault="00AD78F8" w:rsidP="00AD78F8">
      <w:pPr>
        <w:rPr>
          <w:sz w:val="18"/>
          <w:szCs w:val="18"/>
        </w:rPr>
      </w:pPr>
    </w:p>
    <w:p w:rsidR="00837C58" w:rsidRPr="00837C58" w:rsidRDefault="00837C58" w:rsidP="007853D2">
      <w:r w:rsidRPr="00837C58">
        <w:t>User companies get access to a professionally-skilled, globally-mobile workforce.  Their HR departments can plan for future projects, knowing the headcount they will need and drawing on a wide range of consistent education and training options to develop their own staff up to speed.  Projects become more successful, and as their staff advance through their career paths they expand the horizons of the business in leadership roles.</w:t>
      </w:r>
    </w:p>
    <w:p w:rsidR="00AD78F8" w:rsidRPr="00AD78F8" w:rsidRDefault="00AD78F8" w:rsidP="00AD78F8">
      <w:pPr>
        <w:rPr>
          <w:sz w:val="18"/>
          <w:szCs w:val="18"/>
        </w:rPr>
      </w:pPr>
    </w:p>
    <w:p w:rsidR="00CB4542" w:rsidRDefault="00837C58" w:rsidP="007853D2">
      <w:pPr>
        <w:rPr>
          <w:rFonts w:ascii="Candara" w:hAnsi="Candara"/>
        </w:rPr>
      </w:pPr>
      <w:r w:rsidRPr="00837C58">
        <w:t>Vendors, integrators and consultancies can demonstrate the calibre of their staff in absolute terms, freeing them from the perception of 'learning on the job'.  There becomes a fluid and constructive career path out of and back into the client sector; and by supporting professional norms and practices they can lead their clients much faster along the implementation path.</w:t>
      </w:r>
    </w:p>
    <w:p w:rsidR="00366094" w:rsidRDefault="00366094" w:rsidP="00366094">
      <w:pPr>
        <w:rPr>
          <w:rFonts w:cs="Arial"/>
          <w:color w:val="000000"/>
          <w:spacing w:val="-4"/>
        </w:rPr>
      </w:pPr>
    </w:p>
    <w:p w:rsidR="00366094" w:rsidRPr="007853D2" w:rsidRDefault="00366094" w:rsidP="00366094">
      <w:pPr>
        <w:ind w:right="-23"/>
        <w:rPr>
          <w:rFonts w:ascii="Candara" w:hAnsi="Candara"/>
          <w:sz w:val="24"/>
          <w:szCs w:val="24"/>
        </w:rPr>
      </w:pPr>
    </w:p>
    <w:p w:rsidR="00366094" w:rsidRPr="003B0E94" w:rsidRDefault="00366094" w:rsidP="00366094">
      <w:pPr>
        <w:pStyle w:val="Heading2"/>
      </w:pPr>
      <w:r>
        <w:t>Education</w:t>
      </w:r>
    </w:p>
    <w:p w:rsidR="00D7708F" w:rsidRDefault="00366094" w:rsidP="00366094">
      <w:pPr>
        <w:ind w:right="544"/>
        <w:rPr>
          <w:rFonts w:ascii="Candara" w:hAnsi="Candara"/>
          <w:sz w:val="24"/>
          <w:szCs w:val="24"/>
        </w:rPr>
      </w:pPr>
      <w:r>
        <w:t xml:space="preserve">Establishing the criteria for a Profession will also harmonise the worlds of industry and education.  By exploring the full extent of “what a PLM practitioner should know”, across the wide range of different PLM roles, training providers and academia can reshape and extend their provision to meet the whole spectrum of industry need. </w:t>
      </w:r>
    </w:p>
    <w:p w:rsidR="00366094" w:rsidRDefault="00366094">
      <w:pPr>
        <w:jc w:val="left"/>
        <w:rPr>
          <w:rFonts w:ascii="Candara" w:hAnsi="Candara"/>
          <w:sz w:val="24"/>
          <w:szCs w:val="24"/>
        </w:rPr>
      </w:pPr>
      <w:r>
        <w:rPr>
          <w:rFonts w:ascii="Candara" w:hAnsi="Candara"/>
          <w:sz w:val="24"/>
          <w:szCs w:val="24"/>
        </w:rPr>
        <w:br w:type="page"/>
      </w:r>
    </w:p>
    <w:p w:rsidR="00B35C0E" w:rsidRDefault="00B35C0E" w:rsidP="00B35C0E"/>
    <w:p w:rsidR="00B35C0E" w:rsidRDefault="00B35C0E" w:rsidP="00B35C0E"/>
    <w:p w:rsidR="00B35C0E" w:rsidRDefault="00B35C0E" w:rsidP="00B35C0E"/>
    <w:p w:rsidR="00D7708F" w:rsidRPr="00D7708F" w:rsidRDefault="00D7708F" w:rsidP="00D7708F">
      <w:pPr>
        <w:pStyle w:val="Heading2"/>
      </w:pPr>
      <w:r w:rsidRPr="00D7708F">
        <w:t>White Paper</w:t>
      </w:r>
    </w:p>
    <w:p w:rsidR="00D7708F" w:rsidRDefault="00D7708F" w:rsidP="007853D2">
      <w:r>
        <w:t xml:space="preserve">There is a clear starting point in the form of the </w:t>
      </w:r>
      <w:r w:rsidRPr="009A4657">
        <w:rPr>
          <w:b/>
          <w:color w:val="600060"/>
        </w:rPr>
        <w:t>Professional PLM White Paper</w:t>
      </w:r>
      <w:r>
        <w:t xml:space="preserve">, published by the PLMIG in August </w:t>
      </w:r>
      <w:r w:rsidRPr="009A4657">
        <w:rPr>
          <w:rFonts w:cs="Arial"/>
        </w:rPr>
        <w:t>2023</w:t>
      </w:r>
      <w:r>
        <w:t xml:space="preserve"> after an intensive period of industry-wide discussion.</w:t>
      </w:r>
    </w:p>
    <w:p w:rsidR="00F164C6" w:rsidRPr="00AD78F8" w:rsidRDefault="00F164C6" w:rsidP="00F164C6">
      <w:pPr>
        <w:rPr>
          <w:sz w:val="18"/>
          <w:szCs w:val="18"/>
        </w:rPr>
      </w:pPr>
    </w:p>
    <w:p w:rsidR="00D7708F" w:rsidRDefault="007853D2" w:rsidP="007853D2">
      <w:r>
        <w:t>There are arguments for and against a profession, and these have been v</w:t>
      </w:r>
      <w:r w:rsidR="00F164C6">
        <w:t xml:space="preserve">oiced extensively in the past. </w:t>
      </w:r>
      <w:r>
        <w:t xml:space="preserve"> The White Paper </w:t>
      </w:r>
      <w:r w:rsidR="00F164C6">
        <w:t>eliminates this 'noise', summarises the aims and the reasoning, and provides a Position Statement that everyone can work from.</w:t>
      </w:r>
    </w:p>
    <w:p w:rsidR="00AD78F8" w:rsidRPr="00AD78F8" w:rsidRDefault="00AD78F8" w:rsidP="00AD78F8">
      <w:pPr>
        <w:rPr>
          <w:sz w:val="18"/>
          <w:szCs w:val="18"/>
        </w:rPr>
      </w:pPr>
    </w:p>
    <w:p w:rsidR="00416521" w:rsidRDefault="00F164C6" w:rsidP="007D672D">
      <w:pPr>
        <w:ind w:right="-23"/>
      </w:pPr>
      <w:r>
        <w:t>This means that the International Panel</w:t>
      </w:r>
      <w:r w:rsidR="003A1D73">
        <w:t xml:space="preserve"> has a solid and agreed position to work from</w:t>
      </w:r>
      <w:r>
        <w:t>.</w:t>
      </w:r>
    </w:p>
    <w:p w:rsidR="00416521" w:rsidRDefault="00416521" w:rsidP="007D672D">
      <w:pPr>
        <w:ind w:right="-23"/>
      </w:pPr>
    </w:p>
    <w:p w:rsidR="00416521" w:rsidRDefault="00416521" w:rsidP="007D672D">
      <w:pPr>
        <w:ind w:right="-23"/>
      </w:pPr>
    </w:p>
    <w:p w:rsidR="007D672D" w:rsidRPr="00D7708F" w:rsidRDefault="007D672D" w:rsidP="007D672D">
      <w:pPr>
        <w:pStyle w:val="Heading2"/>
      </w:pPr>
      <w:r>
        <w:t>Join the International Panel</w:t>
      </w:r>
    </w:p>
    <w:p w:rsidR="007D672D" w:rsidRDefault="007D672D" w:rsidP="007D672D">
      <w:pPr>
        <w:ind w:right="-23"/>
      </w:pPr>
      <w:r>
        <w:t xml:space="preserve">The PLMIG </w:t>
      </w:r>
      <w:r w:rsidR="000178F9">
        <w:t xml:space="preserve">is </w:t>
      </w:r>
      <w:r>
        <w:t>host</w:t>
      </w:r>
      <w:r w:rsidR="000178F9">
        <w:t>ing</w:t>
      </w:r>
      <w:r>
        <w:t xml:space="preserve"> a</w:t>
      </w:r>
      <w:r w:rsidR="003A1D73">
        <w:t xml:space="preserve"> series of</w:t>
      </w:r>
      <w:r>
        <w:t xml:space="preserve"> International Panel </w:t>
      </w:r>
      <w:r w:rsidR="003A1D73">
        <w:t xml:space="preserve">Meetings throughout 2025.  The Panel consists </w:t>
      </w:r>
      <w:r>
        <w:t xml:space="preserve">of PLM practitioners and organisations </w:t>
      </w:r>
      <w:r w:rsidR="003A1D73">
        <w:t>who</w:t>
      </w:r>
      <w:r>
        <w:t xml:space="preserve"> </w:t>
      </w:r>
      <w:r w:rsidR="003A1D73">
        <w:t xml:space="preserve">want to influence the PLM future, and </w:t>
      </w:r>
      <w:r w:rsidR="008F64F1">
        <w:t>thus far participants from seven countries have been involved.</w:t>
      </w:r>
    </w:p>
    <w:p w:rsidR="00D52EA1" w:rsidRPr="00AD78F8" w:rsidRDefault="00D52EA1" w:rsidP="00D52EA1">
      <w:pPr>
        <w:rPr>
          <w:sz w:val="18"/>
          <w:szCs w:val="18"/>
        </w:rPr>
      </w:pPr>
    </w:p>
    <w:p w:rsidR="007D672D" w:rsidRDefault="007D672D" w:rsidP="007D672D">
      <w:pPr>
        <w:ind w:right="-23"/>
        <w:rPr>
          <w:rFonts w:ascii="Candara" w:hAnsi="Candara"/>
        </w:rPr>
      </w:pPr>
      <w:r>
        <w:t>The aim of the Panel is to define a common view of the way forward on the path to a profession, and to provide input and guidance on its parameters and structure.</w:t>
      </w:r>
      <w:r w:rsidR="00DE0790">
        <w:t xml:space="preserve">  </w:t>
      </w:r>
    </w:p>
    <w:p w:rsidR="00D52EA1" w:rsidRPr="00AD78F8" w:rsidRDefault="00D52EA1" w:rsidP="00D52EA1">
      <w:pPr>
        <w:rPr>
          <w:sz w:val="18"/>
          <w:szCs w:val="18"/>
        </w:rPr>
      </w:pPr>
    </w:p>
    <w:p w:rsidR="007D672D" w:rsidRDefault="007D672D" w:rsidP="007D672D">
      <w:r>
        <w:t>Participants from anywhere and everywhere in the world are encouraged to enrol.  P</w:t>
      </w:r>
      <w:r w:rsidR="00DE0790">
        <w:t>LM is a global subject, and so input from as many countries as possible is desirable.</w:t>
      </w:r>
    </w:p>
    <w:p w:rsidR="00D52EA1" w:rsidRPr="00AD78F8" w:rsidRDefault="00D52EA1" w:rsidP="00D52EA1">
      <w:pPr>
        <w:rPr>
          <w:sz w:val="18"/>
          <w:szCs w:val="18"/>
        </w:rPr>
      </w:pPr>
    </w:p>
    <w:p w:rsidR="00483948" w:rsidRDefault="007D672D" w:rsidP="007D672D">
      <w:r>
        <w:t xml:space="preserve">The meetings </w:t>
      </w:r>
      <w:r w:rsidR="000178F9">
        <w:t xml:space="preserve">work </w:t>
      </w:r>
      <w:r>
        <w:t>in a Round Table format</w:t>
      </w:r>
      <w:r w:rsidR="00AB5D86">
        <w:t>, and</w:t>
      </w:r>
      <w:r>
        <w:t xml:space="preserve"> are</w:t>
      </w:r>
      <w:r w:rsidR="00003D84">
        <w:t xml:space="preserve"> free,</w:t>
      </w:r>
      <w:r>
        <w:t xml:space="preserve"> confidential, and without obligation.</w:t>
      </w:r>
    </w:p>
    <w:p w:rsidR="00D52EA1" w:rsidRPr="00AD78F8" w:rsidRDefault="00D52EA1" w:rsidP="00D52EA1">
      <w:pPr>
        <w:rPr>
          <w:sz w:val="18"/>
          <w:szCs w:val="18"/>
        </w:rPr>
      </w:pPr>
    </w:p>
    <w:p w:rsidR="007D672D" w:rsidRDefault="007D672D" w:rsidP="007D672D">
      <w:r>
        <w:t xml:space="preserve">The </w:t>
      </w:r>
      <w:r w:rsidR="00DE0790">
        <w:t xml:space="preserve">PLMIG </w:t>
      </w:r>
      <w:r w:rsidR="008F64F1">
        <w:t>provides a Briefing Document in advance of</w:t>
      </w:r>
      <w:r w:rsidR="00DE0790">
        <w:t xml:space="preserve"> each meeting, and publish</w:t>
      </w:r>
      <w:r w:rsidR="008F64F1">
        <w:t>es</w:t>
      </w:r>
      <w:r w:rsidR="00DE0790">
        <w:t xml:space="preserve"> the findings t</w:t>
      </w:r>
      <w:r w:rsidR="008F64F1">
        <w:t xml:space="preserve">o the wider PLM community.  There are also </w:t>
      </w:r>
      <w:r w:rsidR="00DE0790">
        <w:t>'drop-in' open-forum sessions to incorporate wider feedback and ensure that every practitioner in the world has a chance to add their input.</w:t>
      </w:r>
    </w:p>
    <w:p w:rsidR="00DE6911" w:rsidRDefault="00DE6911" w:rsidP="00DE6911"/>
    <w:p w:rsidR="00DE6911" w:rsidRDefault="00DE6911" w:rsidP="00DE6911"/>
    <w:p w:rsidR="00DE0790" w:rsidRPr="00D7708F" w:rsidRDefault="00003D84" w:rsidP="00DE0790">
      <w:pPr>
        <w:pStyle w:val="Heading2"/>
      </w:pPr>
      <w:r>
        <w:t>How to Enrol</w:t>
      </w:r>
    </w:p>
    <w:p w:rsidR="00DE6911" w:rsidRDefault="008F64F1" w:rsidP="007D672D">
      <w:r>
        <w:t>There is no fee for participation, but e</w:t>
      </w:r>
      <w:bookmarkStart w:id="0" w:name="_GoBack"/>
      <w:bookmarkEnd w:id="0"/>
      <w:r w:rsidR="00003D84">
        <w:t xml:space="preserve">nrolment is necessary to plan for and to manage the meetings.  Up to 3 people from any organisation may take part. </w:t>
      </w:r>
      <w:r w:rsidR="00D52EA1">
        <w:t xml:space="preserve"> </w:t>
      </w:r>
    </w:p>
    <w:p w:rsidR="00DE6911" w:rsidRDefault="00DE6911" w:rsidP="007D672D"/>
    <w:p w:rsidR="00483948" w:rsidRDefault="00D52EA1" w:rsidP="00A92E96">
      <w:pPr>
        <w:jc w:val="left"/>
      </w:pPr>
      <w:r>
        <w:t xml:space="preserve">Please complete the </w:t>
      </w:r>
      <w:r w:rsidR="00A92E96">
        <w:t>Enrolment Form</w:t>
      </w:r>
      <w:r>
        <w:t xml:space="preserve"> </w:t>
      </w:r>
      <w:r w:rsidR="00A92E96">
        <w:t xml:space="preserve">overleaf </w:t>
      </w:r>
      <w:r>
        <w:t xml:space="preserve">and return </w:t>
      </w:r>
      <w:r w:rsidR="00A92E96">
        <w:t xml:space="preserve">it </w:t>
      </w:r>
      <w:r>
        <w:t xml:space="preserve">to Roger Tempest at </w:t>
      </w:r>
      <w:hyperlink r:id="rId18" w:history="1">
        <w:r w:rsidR="00B65B00" w:rsidRPr="00B65B00">
          <w:rPr>
            <w:rStyle w:val="Hyperlink"/>
            <w:color w:val="418382"/>
          </w:rPr>
          <w:t>internationalpanel@plmig.com</w:t>
        </w:r>
      </w:hyperlink>
      <w:r w:rsidR="00B65B00">
        <w:t>.</w:t>
      </w:r>
      <w:r>
        <w:t xml:space="preserve">  </w:t>
      </w:r>
    </w:p>
    <w:p w:rsidR="00416521" w:rsidRDefault="00416521">
      <w:pPr>
        <w:jc w:val="left"/>
      </w:pPr>
    </w:p>
    <w:p w:rsidR="00A92E96" w:rsidRDefault="00A92E96">
      <w:pPr>
        <w:jc w:val="left"/>
      </w:pPr>
      <w:r>
        <w:br w:type="page"/>
      </w:r>
    </w:p>
    <w:p w:rsidR="00416521" w:rsidRDefault="00416521" w:rsidP="007D672D"/>
    <w:p w:rsidR="00A92E96" w:rsidRDefault="00A92E96" w:rsidP="007D672D"/>
    <w:p w:rsidR="00A92E96" w:rsidRDefault="00A92E96" w:rsidP="007D672D"/>
    <w:p w:rsidR="00416521" w:rsidRPr="00D7708F" w:rsidRDefault="00416521" w:rsidP="00416521">
      <w:pPr>
        <w:pStyle w:val="Heading2"/>
      </w:pPr>
      <w:r>
        <w:t>Enrolment Form</w:t>
      </w:r>
    </w:p>
    <w:p w:rsidR="00416521" w:rsidRDefault="00416521" w:rsidP="007D672D"/>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DE0AFF" w:rsidTr="00514177">
        <w:trPr>
          <w:trHeight w:val="397"/>
        </w:trPr>
        <w:tc>
          <w:tcPr>
            <w:tcW w:w="8505" w:type="dxa"/>
            <w:gridSpan w:val="2"/>
            <w:shd w:val="clear" w:color="auto" w:fill="D9D9D9" w:themeFill="background1" w:themeFillShade="D9"/>
            <w:vAlign w:val="center"/>
          </w:tcPr>
          <w:p w:rsidR="00DE0AFF" w:rsidRDefault="00DE0AFF" w:rsidP="00DE0AFF">
            <w:r>
              <w:rPr>
                <w:b/>
              </w:rPr>
              <w:t>Delegate #1 (primary contact)</w:t>
            </w:r>
          </w:p>
        </w:tc>
      </w:tr>
      <w:tr w:rsidR="0092418F" w:rsidTr="00DE6911">
        <w:trPr>
          <w:trHeight w:val="397"/>
        </w:trPr>
        <w:tc>
          <w:tcPr>
            <w:tcW w:w="2127" w:type="dxa"/>
            <w:shd w:val="clear" w:color="auto" w:fill="D9D9D9" w:themeFill="background1" w:themeFillShade="D9"/>
            <w:vAlign w:val="center"/>
          </w:tcPr>
          <w:p w:rsidR="0092418F" w:rsidRDefault="0092418F" w:rsidP="00024168">
            <w:pPr>
              <w:pStyle w:val="Subtitle"/>
              <w:ind w:left="142"/>
              <w:rPr>
                <w:color w:val="000000"/>
                <w:sz w:val="20"/>
              </w:rPr>
            </w:pPr>
            <w:r>
              <w:rPr>
                <w:color w:val="000000"/>
                <w:sz w:val="20"/>
              </w:rPr>
              <w:t>Name</w:t>
            </w:r>
          </w:p>
        </w:tc>
        <w:tc>
          <w:tcPr>
            <w:tcW w:w="6378" w:type="dxa"/>
            <w:shd w:val="clear" w:color="auto" w:fill="FFFFFF" w:themeFill="background1"/>
            <w:vAlign w:val="center"/>
          </w:tcPr>
          <w:p w:rsidR="0092418F" w:rsidRDefault="0092418F" w:rsidP="00024168"/>
        </w:tc>
      </w:tr>
      <w:tr w:rsidR="0092418F" w:rsidTr="00DE6911">
        <w:trPr>
          <w:trHeight w:val="397"/>
        </w:trPr>
        <w:tc>
          <w:tcPr>
            <w:tcW w:w="2127" w:type="dxa"/>
            <w:shd w:val="clear" w:color="auto" w:fill="D9D9D9" w:themeFill="background1" w:themeFillShade="D9"/>
            <w:vAlign w:val="center"/>
          </w:tcPr>
          <w:p w:rsidR="0092418F" w:rsidRDefault="0092418F" w:rsidP="00024168">
            <w:pPr>
              <w:pStyle w:val="Subtitle"/>
              <w:ind w:left="142"/>
              <w:rPr>
                <w:color w:val="000000"/>
                <w:sz w:val="20"/>
              </w:rPr>
            </w:pPr>
            <w:r>
              <w:rPr>
                <w:color w:val="000000"/>
                <w:sz w:val="20"/>
              </w:rPr>
              <w:t>Company</w:t>
            </w:r>
          </w:p>
        </w:tc>
        <w:tc>
          <w:tcPr>
            <w:tcW w:w="6378" w:type="dxa"/>
            <w:shd w:val="clear" w:color="auto" w:fill="FFFFFF" w:themeFill="background1"/>
            <w:vAlign w:val="center"/>
          </w:tcPr>
          <w:p w:rsidR="0092418F" w:rsidRDefault="0092418F" w:rsidP="00024168">
            <w:pPr>
              <w:rPr>
                <w:color w:val="000000"/>
              </w:rPr>
            </w:pPr>
          </w:p>
        </w:tc>
      </w:tr>
      <w:tr w:rsidR="0092418F" w:rsidTr="00DE6911">
        <w:trPr>
          <w:trHeight w:val="397"/>
        </w:trPr>
        <w:tc>
          <w:tcPr>
            <w:tcW w:w="2127" w:type="dxa"/>
            <w:shd w:val="clear" w:color="auto" w:fill="D9D9D9" w:themeFill="background1" w:themeFillShade="D9"/>
            <w:vAlign w:val="center"/>
          </w:tcPr>
          <w:p w:rsidR="0092418F" w:rsidRDefault="0092418F" w:rsidP="00024168">
            <w:pPr>
              <w:pStyle w:val="Subtitle"/>
              <w:ind w:left="142"/>
              <w:rPr>
                <w:color w:val="000000"/>
                <w:sz w:val="20"/>
              </w:rPr>
            </w:pPr>
            <w:r>
              <w:rPr>
                <w:color w:val="000000"/>
                <w:sz w:val="20"/>
              </w:rPr>
              <w:t>Job Title</w:t>
            </w:r>
          </w:p>
        </w:tc>
        <w:tc>
          <w:tcPr>
            <w:tcW w:w="6378" w:type="dxa"/>
            <w:shd w:val="clear" w:color="auto" w:fill="FFFFFF" w:themeFill="background1"/>
            <w:vAlign w:val="center"/>
          </w:tcPr>
          <w:p w:rsidR="0092418F" w:rsidRDefault="0092418F" w:rsidP="00024168">
            <w:pPr>
              <w:rPr>
                <w:color w:val="000000"/>
              </w:rPr>
            </w:pPr>
          </w:p>
        </w:tc>
      </w:tr>
      <w:tr w:rsidR="00FA780A" w:rsidTr="00DE6911">
        <w:trPr>
          <w:trHeight w:val="397"/>
        </w:trPr>
        <w:tc>
          <w:tcPr>
            <w:tcW w:w="2127" w:type="dxa"/>
            <w:shd w:val="clear" w:color="auto" w:fill="D9D9D9" w:themeFill="background1" w:themeFillShade="D9"/>
            <w:vAlign w:val="center"/>
          </w:tcPr>
          <w:p w:rsidR="00FA780A" w:rsidRDefault="00FA780A" w:rsidP="00024168">
            <w:pPr>
              <w:pStyle w:val="Subtitle"/>
              <w:ind w:left="142"/>
              <w:rPr>
                <w:color w:val="000000"/>
                <w:sz w:val="20"/>
              </w:rPr>
            </w:pPr>
            <w:r>
              <w:rPr>
                <w:color w:val="000000"/>
                <w:sz w:val="20"/>
              </w:rPr>
              <w:t>Country</w:t>
            </w:r>
          </w:p>
        </w:tc>
        <w:tc>
          <w:tcPr>
            <w:tcW w:w="6378" w:type="dxa"/>
            <w:shd w:val="clear" w:color="auto" w:fill="FFFFFF" w:themeFill="background1"/>
            <w:vAlign w:val="center"/>
          </w:tcPr>
          <w:p w:rsidR="00FA780A" w:rsidRDefault="00FA780A" w:rsidP="00024168">
            <w:pPr>
              <w:rPr>
                <w:color w:val="000000"/>
              </w:rPr>
            </w:pPr>
          </w:p>
        </w:tc>
      </w:tr>
      <w:tr w:rsidR="0092418F" w:rsidTr="00DE6911">
        <w:trPr>
          <w:trHeight w:val="397"/>
        </w:trPr>
        <w:tc>
          <w:tcPr>
            <w:tcW w:w="2127" w:type="dxa"/>
            <w:shd w:val="clear" w:color="auto" w:fill="D9D9D9" w:themeFill="background1" w:themeFillShade="D9"/>
            <w:vAlign w:val="center"/>
          </w:tcPr>
          <w:p w:rsidR="0092418F" w:rsidRDefault="0092418F" w:rsidP="00024168">
            <w:pPr>
              <w:pStyle w:val="Subtitle"/>
              <w:ind w:left="142"/>
              <w:rPr>
                <w:color w:val="000000"/>
                <w:sz w:val="20"/>
              </w:rPr>
            </w:pPr>
            <w:r>
              <w:rPr>
                <w:color w:val="000000"/>
                <w:sz w:val="20"/>
              </w:rPr>
              <w:t>Email</w:t>
            </w:r>
          </w:p>
        </w:tc>
        <w:tc>
          <w:tcPr>
            <w:tcW w:w="6378" w:type="dxa"/>
            <w:shd w:val="clear" w:color="auto" w:fill="FFFFFF" w:themeFill="background1"/>
            <w:vAlign w:val="center"/>
          </w:tcPr>
          <w:p w:rsidR="0092418F" w:rsidRDefault="0092418F" w:rsidP="00024168">
            <w:pPr>
              <w:rPr>
                <w:color w:val="000000"/>
              </w:rPr>
            </w:pPr>
          </w:p>
        </w:tc>
      </w:tr>
    </w:tbl>
    <w:p w:rsidR="00483948" w:rsidRDefault="00483948" w:rsidP="007D672D"/>
    <w:p w:rsidR="00A92E96" w:rsidRDefault="00A92E96" w:rsidP="007D672D"/>
    <w:p w:rsidR="0042502D" w:rsidRPr="00FA780A" w:rsidRDefault="0042502D" w:rsidP="0042502D">
      <w:pPr>
        <w:pStyle w:val="Subtitle"/>
        <w:jc w:val="both"/>
        <w:rPr>
          <w:color w:val="000000"/>
          <w:sz w:val="22"/>
          <w:szCs w:val="22"/>
        </w:rPr>
      </w:pPr>
      <w:r w:rsidRPr="00FA780A">
        <w:rPr>
          <w:color w:val="000000"/>
          <w:sz w:val="22"/>
          <w:szCs w:val="22"/>
        </w:rPr>
        <w:t>Delegate #2, if required:-</w:t>
      </w:r>
    </w:p>
    <w:p w:rsidR="0042502D" w:rsidRPr="00D52EA1" w:rsidRDefault="0042502D" w:rsidP="0042502D">
      <w:pPr>
        <w:pStyle w:val="Subtitle"/>
        <w:jc w:val="both"/>
        <w:rPr>
          <w:color w:val="000000"/>
          <w:sz w:val="16"/>
          <w:szCs w:val="16"/>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42502D" w:rsidTr="00DE6911">
        <w:trPr>
          <w:trHeight w:val="397"/>
        </w:trPr>
        <w:tc>
          <w:tcPr>
            <w:tcW w:w="2127" w:type="dxa"/>
            <w:shd w:val="clear" w:color="auto" w:fill="D9D9D9" w:themeFill="background1" w:themeFillShade="D9"/>
            <w:vAlign w:val="center"/>
          </w:tcPr>
          <w:p w:rsidR="0042502D" w:rsidRDefault="0042502D" w:rsidP="00024168">
            <w:pPr>
              <w:pStyle w:val="Subtitle"/>
              <w:ind w:left="142"/>
              <w:rPr>
                <w:color w:val="000000"/>
                <w:sz w:val="20"/>
              </w:rPr>
            </w:pPr>
            <w:r>
              <w:rPr>
                <w:color w:val="000000"/>
                <w:sz w:val="20"/>
              </w:rPr>
              <w:t>Name</w:t>
            </w:r>
          </w:p>
        </w:tc>
        <w:tc>
          <w:tcPr>
            <w:tcW w:w="6378" w:type="dxa"/>
            <w:shd w:val="clear" w:color="auto" w:fill="FFFFFF" w:themeFill="background1"/>
            <w:vAlign w:val="center"/>
          </w:tcPr>
          <w:p w:rsidR="0042502D" w:rsidRDefault="0042502D" w:rsidP="00024168"/>
        </w:tc>
      </w:tr>
      <w:tr w:rsidR="0042502D" w:rsidTr="00DE6911">
        <w:trPr>
          <w:trHeight w:val="397"/>
        </w:trPr>
        <w:tc>
          <w:tcPr>
            <w:tcW w:w="2127" w:type="dxa"/>
            <w:shd w:val="clear" w:color="auto" w:fill="D9D9D9" w:themeFill="background1" w:themeFillShade="D9"/>
            <w:vAlign w:val="center"/>
          </w:tcPr>
          <w:p w:rsidR="0042502D" w:rsidRDefault="0042502D" w:rsidP="00024168">
            <w:pPr>
              <w:pStyle w:val="Subtitle"/>
              <w:ind w:left="142"/>
              <w:rPr>
                <w:color w:val="000000"/>
                <w:sz w:val="20"/>
              </w:rPr>
            </w:pPr>
            <w:r>
              <w:rPr>
                <w:color w:val="000000"/>
                <w:sz w:val="20"/>
              </w:rPr>
              <w:t>Job Title</w:t>
            </w:r>
          </w:p>
        </w:tc>
        <w:tc>
          <w:tcPr>
            <w:tcW w:w="6378" w:type="dxa"/>
            <w:shd w:val="clear" w:color="auto" w:fill="FFFFFF" w:themeFill="background1"/>
            <w:vAlign w:val="center"/>
          </w:tcPr>
          <w:p w:rsidR="0042502D" w:rsidRDefault="0042502D" w:rsidP="00024168">
            <w:pPr>
              <w:rPr>
                <w:color w:val="000000"/>
              </w:rPr>
            </w:pPr>
          </w:p>
        </w:tc>
      </w:tr>
      <w:tr w:rsidR="0042502D" w:rsidTr="00DE6911">
        <w:trPr>
          <w:trHeight w:val="397"/>
        </w:trPr>
        <w:tc>
          <w:tcPr>
            <w:tcW w:w="2127" w:type="dxa"/>
            <w:shd w:val="clear" w:color="auto" w:fill="D9D9D9" w:themeFill="background1" w:themeFillShade="D9"/>
            <w:vAlign w:val="center"/>
          </w:tcPr>
          <w:p w:rsidR="0042502D" w:rsidRDefault="0042502D" w:rsidP="00024168">
            <w:pPr>
              <w:pStyle w:val="Subtitle"/>
              <w:ind w:left="142"/>
              <w:rPr>
                <w:color w:val="000000"/>
                <w:sz w:val="20"/>
              </w:rPr>
            </w:pPr>
            <w:r>
              <w:rPr>
                <w:color w:val="000000"/>
                <w:sz w:val="20"/>
              </w:rPr>
              <w:t>Country</w:t>
            </w:r>
          </w:p>
        </w:tc>
        <w:tc>
          <w:tcPr>
            <w:tcW w:w="6378" w:type="dxa"/>
            <w:shd w:val="clear" w:color="auto" w:fill="FFFFFF" w:themeFill="background1"/>
            <w:vAlign w:val="center"/>
          </w:tcPr>
          <w:p w:rsidR="0042502D" w:rsidRDefault="0042502D" w:rsidP="00024168">
            <w:pPr>
              <w:rPr>
                <w:color w:val="000000"/>
              </w:rPr>
            </w:pPr>
          </w:p>
        </w:tc>
      </w:tr>
      <w:tr w:rsidR="0042502D" w:rsidTr="00DE6911">
        <w:trPr>
          <w:trHeight w:val="397"/>
        </w:trPr>
        <w:tc>
          <w:tcPr>
            <w:tcW w:w="2127" w:type="dxa"/>
            <w:shd w:val="clear" w:color="auto" w:fill="D9D9D9" w:themeFill="background1" w:themeFillShade="D9"/>
            <w:vAlign w:val="center"/>
          </w:tcPr>
          <w:p w:rsidR="0042502D" w:rsidRDefault="0042502D" w:rsidP="00024168">
            <w:pPr>
              <w:pStyle w:val="Subtitle"/>
              <w:ind w:left="142"/>
              <w:rPr>
                <w:color w:val="000000"/>
                <w:sz w:val="20"/>
              </w:rPr>
            </w:pPr>
            <w:r>
              <w:rPr>
                <w:color w:val="000000"/>
                <w:sz w:val="20"/>
              </w:rPr>
              <w:t>Email</w:t>
            </w:r>
          </w:p>
        </w:tc>
        <w:tc>
          <w:tcPr>
            <w:tcW w:w="6378" w:type="dxa"/>
            <w:shd w:val="clear" w:color="auto" w:fill="FFFFFF" w:themeFill="background1"/>
            <w:vAlign w:val="center"/>
          </w:tcPr>
          <w:p w:rsidR="0042502D" w:rsidRDefault="0042502D" w:rsidP="00024168">
            <w:pPr>
              <w:rPr>
                <w:color w:val="000000"/>
              </w:rPr>
            </w:pPr>
          </w:p>
        </w:tc>
      </w:tr>
    </w:tbl>
    <w:p w:rsidR="00D52EA1" w:rsidRDefault="00D52EA1" w:rsidP="00D52EA1"/>
    <w:p w:rsidR="00A92E96" w:rsidRDefault="00A92E96" w:rsidP="00D52EA1"/>
    <w:p w:rsidR="00D52EA1" w:rsidRPr="00FA780A" w:rsidRDefault="00D52EA1" w:rsidP="00D52EA1">
      <w:pPr>
        <w:pStyle w:val="Subtitle"/>
        <w:jc w:val="both"/>
        <w:rPr>
          <w:color w:val="000000"/>
          <w:sz w:val="22"/>
          <w:szCs w:val="22"/>
        </w:rPr>
      </w:pPr>
      <w:r w:rsidRPr="00FA780A">
        <w:rPr>
          <w:color w:val="000000"/>
          <w:sz w:val="22"/>
          <w:szCs w:val="22"/>
        </w:rPr>
        <w:t>Delegate #3 if required:-</w:t>
      </w:r>
    </w:p>
    <w:p w:rsidR="00D52EA1" w:rsidRPr="00D52EA1" w:rsidRDefault="00D52EA1" w:rsidP="00D52EA1">
      <w:pPr>
        <w:pStyle w:val="Subtitle"/>
        <w:jc w:val="both"/>
        <w:rPr>
          <w:color w:val="000000"/>
          <w:sz w:val="16"/>
          <w:szCs w:val="16"/>
        </w:rPr>
      </w:pPr>
    </w:p>
    <w:tbl>
      <w:tblPr>
        <w:tblW w:w="8505" w:type="dxa"/>
        <w:tblInd w:w="11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57" w:type="dxa"/>
          <w:left w:w="113" w:type="dxa"/>
          <w:bottom w:w="57" w:type="dxa"/>
          <w:right w:w="57" w:type="dxa"/>
        </w:tblCellMar>
        <w:tblLook w:val="0000" w:firstRow="0" w:lastRow="0" w:firstColumn="0" w:lastColumn="0" w:noHBand="0" w:noVBand="0"/>
      </w:tblPr>
      <w:tblGrid>
        <w:gridCol w:w="2127"/>
        <w:gridCol w:w="6378"/>
      </w:tblGrid>
      <w:tr w:rsidR="00D52EA1" w:rsidTr="00DE6911">
        <w:trPr>
          <w:trHeight w:val="397"/>
        </w:trPr>
        <w:tc>
          <w:tcPr>
            <w:tcW w:w="2127" w:type="dxa"/>
            <w:shd w:val="clear" w:color="auto" w:fill="D9D9D9" w:themeFill="background1" w:themeFillShade="D9"/>
            <w:vAlign w:val="center"/>
          </w:tcPr>
          <w:p w:rsidR="00D52EA1" w:rsidRDefault="00D52EA1" w:rsidP="00024168">
            <w:pPr>
              <w:pStyle w:val="Subtitle"/>
              <w:ind w:left="142"/>
              <w:rPr>
                <w:color w:val="000000"/>
                <w:sz w:val="20"/>
              </w:rPr>
            </w:pPr>
            <w:r>
              <w:rPr>
                <w:color w:val="000000"/>
                <w:sz w:val="20"/>
              </w:rPr>
              <w:t>Name</w:t>
            </w:r>
          </w:p>
        </w:tc>
        <w:tc>
          <w:tcPr>
            <w:tcW w:w="6378" w:type="dxa"/>
            <w:shd w:val="clear" w:color="auto" w:fill="FFFFFF" w:themeFill="background1"/>
            <w:vAlign w:val="center"/>
          </w:tcPr>
          <w:p w:rsidR="00D52EA1" w:rsidRDefault="00D52EA1" w:rsidP="00024168"/>
        </w:tc>
      </w:tr>
      <w:tr w:rsidR="00D52EA1" w:rsidTr="00DE6911">
        <w:trPr>
          <w:trHeight w:val="397"/>
        </w:trPr>
        <w:tc>
          <w:tcPr>
            <w:tcW w:w="2127" w:type="dxa"/>
            <w:shd w:val="clear" w:color="auto" w:fill="D9D9D9" w:themeFill="background1" w:themeFillShade="D9"/>
            <w:vAlign w:val="center"/>
          </w:tcPr>
          <w:p w:rsidR="00D52EA1" w:rsidRDefault="00D52EA1" w:rsidP="00024168">
            <w:pPr>
              <w:pStyle w:val="Subtitle"/>
              <w:ind w:left="142"/>
              <w:rPr>
                <w:color w:val="000000"/>
                <w:sz w:val="20"/>
              </w:rPr>
            </w:pPr>
            <w:r>
              <w:rPr>
                <w:color w:val="000000"/>
                <w:sz w:val="20"/>
              </w:rPr>
              <w:t>Job Title</w:t>
            </w:r>
          </w:p>
        </w:tc>
        <w:tc>
          <w:tcPr>
            <w:tcW w:w="6378" w:type="dxa"/>
            <w:shd w:val="clear" w:color="auto" w:fill="FFFFFF" w:themeFill="background1"/>
            <w:vAlign w:val="center"/>
          </w:tcPr>
          <w:p w:rsidR="00D52EA1" w:rsidRDefault="00D52EA1" w:rsidP="00024168">
            <w:pPr>
              <w:rPr>
                <w:color w:val="000000"/>
              </w:rPr>
            </w:pPr>
          </w:p>
        </w:tc>
      </w:tr>
      <w:tr w:rsidR="00D52EA1" w:rsidTr="00DE6911">
        <w:trPr>
          <w:trHeight w:val="397"/>
        </w:trPr>
        <w:tc>
          <w:tcPr>
            <w:tcW w:w="2127" w:type="dxa"/>
            <w:shd w:val="clear" w:color="auto" w:fill="D9D9D9" w:themeFill="background1" w:themeFillShade="D9"/>
            <w:vAlign w:val="center"/>
          </w:tcPr>
          <w:p w:rsidR="00D52EA1" w:rsidRDefault="00D52EA1" w:rsidP="00024168">
            <w:pPr>
              <w:pStyle w:val="Subtitle"/>
              <w:ind w:left="142"/>
              <w:rPr>
                <w:color w:val="000000"/>
                <w:sz w:val="20"/>
              </w:rPr>
            </w:pPr>
            <w:r>
              <w:rPr>
                <w:color w:val="000000"/>
                <w:sz w:val="20"/>
              </w:rPr>
              <w:t>Country</w:t>
            </w:r>
          </w:p>
        </w:tc>
        <w:tc>
          <w:tcPr>
            <w:tcW w:w="6378" w:type="dxa"/>
            <w:shd w:val="clear" w:color="auto" w:fill="FFFFFF" w:themeFill="background1"/>
            <w:vAlign w:val="center"/>
          </w:tcPr>
          <w:p w:rsidR="00D52EA1" w:rsidRDefault="00D52EA1" w:rsidP="00024168">
            <w:pPr>
              <w:rPr>
                <w:color w:val="000000"/>
              </w:rPr>
            </w:pPr>
          </w:p>
        </w:tc>
      </w:tr>
      <w:tr w:rsidR="00D52EA1" w:rsidTr="00DE6911">
        <w:trPr>
          <w:trHeight w:val="397"/>
        </w:trPr>
        <w:tc>
          <w:tcPr>
            <w:tcW w:w="2127" w:type="dxa"/>
            <w:shd w:val="clear" w:color="auto" w:fill="D9D9D9" w:themeFill="background1" w:themeFillShade="D9"/>
            <w:vAlign w:val="center"/>
          </w:tcPr>
          <w:p w:rsidR="00D52EA1" w:rsidRDefault="00D52EA1" w:rsidP="00024168">
            <w:pPr>
              <w:pStyle w:val="Subtitle"/>
              <w:ind w:left="142"/>
              <w:rPr>
                <w:color w:val="000000"/>
                <w:sz w:val="20"/>
              </w:rPr>
            </w:pPr>
            <w:r>
              <w:rPr>
                <w:color w:val="000000"/>
                <w:sz w:val="20"/>
              </w:rPr>
              <w:t>Email</w:t>
            </w:r>
          </w:p>
        </w:tc>
        <w:tc>
          <w:tcPr>
            <w:tcW w:w="6378" w:type="dxa"/>
            <w:shd w:val="clear" w:color="auto" w:fill="FFFFFF" w:themeFill="background1"/>
            <w:vAlign w:val="center"/>
          </w:tcPr>
          <w:p w:rsidR="00D52EA1" w:rsidRDefault="00D52EA1" w:rsidP="00024168">
            <w:pPr>
              <w:rPr>
                <w:color w:val="000000"/>
              </w:rPr>
            </w:pPr>
          </w:p>
        </w:tc>
      </w:tr>
    </w:tbl>
    <w:p w:rsidR="00A57EF3" w:rsidRDefault="00A57EF3" w:rsidP="00FA780A"/>
    <w:sectPr w:rsidR="00A57EF3" w:rsidSect="00FA780A">
      <w:headerReference w:type="first" r:id="rId19"/>
      <w:type w:val="continuous"/>
      <w:pgSz w:w="11907" w:h="16840" w:code="9"/>
      <w:pgMar w:top="851" w:right="1469" w:bottom="851" w:left="181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80" w:rsidRDefault="009C1F80" w:rsidP="0003551F">
      <w:r>
        <w:separator/>
      </w:r>
    </w:p>
  </w:endnote>
  <w:endnote w:type="continuationSeparator" w:id="0">
    <w:p w:rsidR="009C1F80" w:rsidRDefault="009C1F80" w:rsidP="0003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721 BlkEx BT">
    <w:altName w:val="MS P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0A" w:rsidRDefault="00FA780A" w:rsidP="00FA780A">
    <w:pPr>
      <w:pStyle w:val="Footer"/>
      <w:pBdr>
        <w:bottom w:val="single" w:sz="6" w:space="0" w:color="auto"/>
      </w:pBdr>
    </w:pPr>
  </w:p>
  <w:p w:rsidR="00FA780A" w:rsidRDefault="00FA780A" w:rsidP="00FA780A">
    <w:pPr>
      <w:pStyle w:val="Footer"/>
    </w:pPr>
  </w:p>
  <w:p w:rsidR="00FA780A" w:rsidRDefault="00FA780A">
    <w:pPr>
      <w:pStyle w:val="Footer"/>
    </w:pPr>
    <w:r w:rsidRPr="009030D0">
      <w:rPr>
        <w:rFonts w:ascii="Times New Roman" w:hAnsi="Times New Roman"/>
      </w:rPr>
      <w:t>© PLMIG 20</w:t>
    </w:r>
    <w:r w:rsidR="000178F9">
      <w:rPr>
        <w:rFonts w:ascii="Times New Roman" w:hAnsi="Times New Roman"/>
      </w:rPr>
      <w:t>25</w:t>
    </w:r>
    <w:r>
      <w:rPr>
        <w:rFonts w:ascii="Times New Roman" w:hAnsi="Times New Roman"/>
      </w:rPr>
      <w:tab/>
    </w:r>
    <w:r w:rsidRPr="00192B67">
      <w:rPr>
        <w:rFonts w:ascii="Times New Roman" w:hAnsi="Times New Roman"/>
      </w:rPr>
      <w:t>An Initiative o</w:t>
    </w:r>
    <w:r>
      <w:rPr>
        <w:rFonts w:ascii="Times New Roman" w:hAnsi="Times New Roman"/>
      </w:rPr>
      <w:t>f the PLM Interest Group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0A" w:rsidRDefault="00FA780A" w:rsidP="00FA780A">
    <w:pPr>
      <w:pStyle w:val="Footer"/>
      <w:pBdr>
        <w:bottom w:val="single" w:sz="6" w:space="0" w:color="auto"/>
      </w:pBdr>
    </w:pPr>
  </w:p>
  <w:p w:rsidR="00FA780A" w:rsidRDefault="00FA780A" w:rsidP="00FA780A">
    <w:pPr>
      <w:pStyle w:val="Footer"/>
    </w:pPr>
  </w:p>
  <w:p w:rsidR="00FA780A" w:rsidRDefault="00FA780A" w:rsidP="00FA780A">
    <w:pPr>
      <w:pStyle w:val="Footer"/>
    </w:pPr>
    <w:r w:rsidRPr="009030D0">
      <w:rPr>
        <w:rFonts w:ascii="Times New Roman" w:hAnsi="Times New Roman"/>
      </w:rPr>
      <w:t>© PLMIG 20</w:t>
    </w:r>
    <w:r>
      <w:rPr>
        <w:rFonts w:ascii="Times New Roman" w:hAnsi="Times New Roman"/>
      </w:rPr>
      <w:t>2</w:t>
    </w:r>
    <w:r w:rsidR="000178F9">
      <w:rPr>
        <w:rFonts w:ascii="Times New Roman" w:hAnsi="Times New Roman"/>
      </w:rPr>
      <w:t>5</w:t>
    </w:r>
    <w:r>
      <w:rPr>
        <w:rFonts w:ascii="Times New Roman" w:hAnsi="Times New Roman"/>
      </w:rPr>
      <w:tab/>
    </w:r>
    <w:r w:rsidRPr="00192B67">
      <w:rPr>
        <w:rFonts w:ascii="Times New Roman" w:hAnsi="Times New Roman"/>
      </w:rPr>
      <w:t>An Initiative o</w:t>
    </w:r>
    <w:r w:rsidR="00A67AE5">
      <w:rPr>
        <w:rFonts w:ascii="Times New Roman" w:hAnsi="Times New Roman"/>
      </w:rPr>
      <w:t>f the PLM Interest Group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80" w:rsidRDefault="009C1F80" w:rsidP="0003551F">
      <w:r>
        <w:separator/>
      </w:r>
    </w:p>
  </w:footnote>
  <w:footnote w:type="continuationSeparator" w:id="0">
    <w:p w:rsidR="009C1F80" w:rsidRDefault="009C1F80" w:rsidP="00035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0A" w:rsidRDefault="00FA780A" w:rsidP="00FA780A">
    <w:pPr>
      <w:pStyle w:val="Footer"/>
      <w:pBdr>
        <w:bottom w:val="single" w:sz="6" w:space="0" w:color="auto"/>
      </w:pBdr>
      <w:jc w:val="center"/>
    </w:pPr>
    <w:r>
      <w:rPr>
        <w:rFonts w:ascii="Times New Roman" w:hAnsi="Times New Roman"/>
      </w:rPr>
      <w:t>Professional PLM International Panel</w:t>
    </w:r>
  </w:p>
  <w:p w:rsidR="00FA780A" w:rsidRDefault="00FA780A" w:rsidP="00FA780A">
    <w:pPr>
      <w:pStyle w:val="Footer"/>
      <w:pBdr>
        <w:bottom w:val="single" w:sz="6"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80A" w:rsidRDefault="00FA780A" w:rsidP="00FA780A">
    <w:pPr>
      <w:pStyle w:val="Footer"/>
      <w:pBdr>
        <w:bottom w:val="single" w:sz="6" w:space="0" w:color="auto"/>
      </w:pBdr>
      <w:jc w:val="center"/>
    </w:pPr>
    <w:r>
      <w:rPr>
        <w:rFonts w:ascii="Times New Roman" w:hAnsi="Times New Roman"/>
      </w:rPr>
      <w:t>Professional PLM International Panel</w:t>
    </w:r>
  </w:p>
  <w:p w:rsidR="00FA780A" w:rsidRDefault="00FA780A" w:rsidP="00FA780A">
    <w:pPr>
      <w:pStyle w:val="Footer"/>
      <w:pBdr>
        <w:bottom w:val="single" w:sz="6"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487B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21432"/>
    <w:multiLevelType w:val="singleLevel"/>
    <w:tmpl w:val="7D1CFB54"/>
    <w:lvl w:ilvl="0">
      <w:start w:val="1"/>
      <w:numFmt w:val="bullet"/>
      <w:lvlText w:val=""/>
      <w:lvlJc w:val="left"/>
      <w:pPr>
        <w:tabs>
          <w:tab w:val="num" w:pos="360"/>
        </w:tabs>
        <w:ind w:left="360" w:hanging="360"/>
      </w:pPr>
      <w:rPr>
        <w:rFonts w:ascii="Symbol" w:hAnsi="Symbol" w:hint="default"/>
        <w:sz w:val="28"/>
      </w:rPr>
    </w:lvl>
  </w:abstractNum>
  <w:abstractNum w:abstractNumId="2">
    <w:nsid w:val="1FF538B2"/>
    <w:multiLevelType w:val="hybridMultilevel"/>
    <w:tmpl w:val="649E57B8"/>
    <w:lvl w:ilvl="0" w:tplc="355C713A">
      <w:start w:val="1"/>
      <w:numFmt w:val="bullet"/>
      <w:lvlText w:val=""/>
      <w:lvlJc w:val="left"/>
      <w:pPr>
        <w:ind w:left="720" w:hanging="360"/>
      </w:pPr>
      <w:rPr>
        <w:rFonts w:ascii="Wingdings" w:hAnsi="Wingdings" w:hint="default"/>
        <w:b/>
        <w:i w:val="0"/>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ED7A93"/>
    <w:multiLevelType w:val="hybridMultilevel"/>
    <w:tmpl w:val="777093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792525"/>
    <w:multiLevelType w:val="hybridMultilevel"/>
    <w:tmpl w:val="669838EE"/>
    <w:lvl w:ilvl="0" w:tplc="08090009">
      <w:start w:val="1"/>
      <w:numFmt w:val="bullet"/>
      <w:lvlText w:val=""/>
      <w:lvlJc w:val="left"/>
      <w:pPr>
        <w:ind w:left="1110" w:hanging="360"/>
      </w:pPr>
      <w:rPr>
        <w:rFonts w:ascii="Wingdings" w:hAnsi="Wingdings"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5">
    <w:nsid w:val="45CD7C03"/>
    <w:multiLevelType w:val="hybridMultilevel"/>
    <w:tmpl w:val="AB2898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835603"/>
    <w:multiLevelType w:val="singleLevel"/>
    <w:tmpl w:val="91E21410"/>
    <w:lvl w:ilvl="0">
      <w:numFmt w:val="bullet"/>
      <w:lvlText w:val=""/>
      <w:lvlJc w:val="left"/>
      <w:pPr>
        <w:tabs>
          <w:tab w:val="num" w:pos="1155"/>
        </w:tabs>
        <w:ind w:left="1155" w:hanging="405"/>
      </w:pPr>
      <w:rPr>
        <w:rFonts w:ascii="Wingdings" w:hAnsi="Wingdings" w:hint="default"/>
      </w:rPr>
    </w:lvl>
  </w:abstractNum>
  <w:num w:numId="1">
    <w:abstractNumId w:val="1"/>
  </w:num>
  <w:num w:numId="2">
    <w:abstractNumId w:val="6"/>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F0F"/>
    <w:rsid w:val="00002491"/>
    <w:rsid w:val="00003405"/>
    <w:rsid w:val="00003C5B"/>
    <w:rsid w:val="00003D84"/>
    <w:rsid w:val="000178F9"/>
    <w:rsid w:val="00020E3C"/>
    <w:rsid w:val="000250D8"/>
    <w:rsid w:val="00031987"/>
    <w:rsid w:val="000322E1"/>
    <w:rsid w:val="0003551F"/>
    <w:rsid w:val="00037743"/>
    <w:rsid w:val="00041BAC"/>
    <w:rsid w:val="00041FD9"/>
    <w:rsid w:val="0005234A"/>
    <w:rsid w:val="00054EDA"/>
    <w:rsid w:val="0006363C"/>
    <w:rsid w:val="00064E53"/>
    <w:rsid w:val="0007713B"/>
    <w:rsid w:val="00084FD6"/>
    <w:rsid w:val="000902C0"/>
    <w:rsid w:val="000942D2"/>
    <w:rsid w:val="000A25CB"/>
    <w:rsid w:val="000A3107"/>
    <w:rsid w:val="000A65C1"/>
    <w:rsid w:val="000B2F62"/>
    <w:rsid w:val="000B3BBB"/>
    <w:rsid w:val="000B72A1"/>
    <w:rsid w:val="000C381C"/>
    <w:rsid w:val="000D02B7"/>
    <w:rsid w:val="000D10CF"/>
    <w:rsid w:val="000D3D4F"/>
    <w:rsid w:val="000D3DCE"/>
    <w:rsid w:val="000D4A76"/>
    <w:rsid w:val="000D7406"/>
    <w:rsid w:val="000E59A2"/>
    <w:rsid w:val="000F3B8A"/>
    <w:rsid w:val="001015BA"/>
    <w:rsid w:val="00106419"/>
    <w:rsid w:val="00125FBC"/>
    <w:rsid w:val="0013483F"/>
    <w:rsid w:val="00141712"/>
    <w:rsid w:val="00154995"/>
    <w:rsid w:val="001565B6"/>
    <w:rsid w:val="00156A30"/>
    <w:rsid w:val="00170A64"/>
    <w:rsid w:val="00171A78"/>
    <w:rsid w:val="001908CD"/>
    <w:rsid w:val="00192B67"/>
    <w:rsid w:val="0019762B"/>
    <w:rsid w:val="001A0F21"/>
    <w:rsid w:val="001B6404"/>
    <w:rsid w:val="001C5F69"/>
    <w:rsid w:val="001C657E"/>
    <w:rsid w:val="001D02B5"/>
    <w:rsid w:val="001D0427"/>
    <w:rsid w:val="001D509C"/>
    <w:rsid w:val="001D70A2"/>
    <w:rsid w:val="001E7DAD"/>
    <w:rsid w:val="001F2064"/>
    <w:rsid w:val="001F7FA4"/>
    <w:rsid w:val="0020289B"/>
    <w:rsid w:val="00214573"/>
    <w:rsid w:val="00216A58"/>
    <w:rsid w:val="00225AF7"/>
    <w:rsid w:val="00233B62"/>
    <w:rsid w:val="00243DC8"/>
    <w:rsid w:val="0024449E"/>
    <w:rsid w:val="00252BED"/>
    <w:rsid w:val="00271AD8"/>
    <w:rsid w:val="00273BD0"/>
    <w:rsid w:val="00274F70"/>
    <w:rsid w:val="00290F37"/>
    <w:rsid w:val="002A1084"/>
    <w:rsid w:val="002B5C15"/>
    <w:rsid w:val="002C3BB4"/>
    <w:rsid w:val="002C5113"/>
    <w:rsid w:val="002D0963"/>
    <w:rsid w:val="002D2312"/>
    <w:rsid w:val="002D5C9A"/>
    <w:rsid w:val="002E109A"/>
    <w:rsid w:val="002F62BC"/>
    <w:rsid w:val="003009F7"/>
    <w:rsid w:val="003017F5"/>
    <w:rsid w:val="00307DBB"/>
    <w:rsid w:val="003114BF"/>
    <w:rsid w:val="003234B4"/>
    <w:rsid w:val="00332164"/>
    <w:rsid w:val="00335665"/>
    <w:rsid w:val="003440C2"/>
    <w:rsid w:val="00345BED"/>
    <w:rsid w:val="00361C0E"/>
    <w:rsid w:val="00365A4C"/>
    <w:rsid w:val="00366094"/>
    <w:rsid w:val="00367C5B"/>
    <w:rsid w:val="00374948"/>
    <w:rsid w:val="00375DD5"/>
    <w:rsid w:val="003763AF"/>
    <w:rsid w:val="00383EFF"/>
    <w:rsid w:val="003844BE"/>
    <w:rsid w:val="00393DB3"/>
    <w:rsid w:val="00397042"/>
    <w:rsid w:val="003A1D73"/>
    <w:rsid w:val="003B0E94"/>
    <w:rsid w:val="003E3B8E"/>
    <w:rsid w:val="003E69E1"/>
    <w:rsid w:val="004129B0"/>
    <w:rsid w:val="00414EA0"/>
    <w:rsid w:val="00416521"/>
    <w:rsid w:val="0042164E"/>
    <w:rsid w:val="004241A8"/>
    <w:rsid w:val="0042502D"/>
    <w:rsid w:val="00426EAD"/>
    <w:rsid w:val="00427C38"/>
    <w:rsid w:val="00441404"/>
    <w:rsid w:val="004447DB"/>
    <w:rsid w:val="00447EAA"/>
    <w:rsid w:val="004535A1"/>
    <w:rsid w:val="00454C60"/>
    <w:rsid w:val="004640F7"/>
    <w:rsid w:val="0046682A"/>
    <w:rsid w:val="004668CB"/>
    <w:rsid w:val="00480862"/>
    <w:rsid w:val="004830D7"/>
    <w:rsid w:val="00483948"/>
    <w:rsid w:val="004D2A16"/>
    <w:rsid w:val="004E59C5"/>
    <w:rsid w:val="004F46A0"/>
    <w:rsid w:val="005057A7"/>
    <w:rsid w:val="005121D8"/>
    <w:rsid w:val="00512400"/>
    <w:rsid w:val="005143A5"/>
    <w:rsid w:val="00520039"/>
    <w:rsid w:val="00527585"/>
    <w:rsid w:val="005318B9"/>
    <w:rsid w:val="00532829"/>
    <w:rsid w:val="005400E5"/>
    <w:rsid w:val="00550908"/>
    <w:rsid w:val="00550ABB"/>
    <w:rsid w:val="00556D1D"/>
    <w:rsid w:val="005874E1"/>
    <w:rsid w:val="005875ED"/>
    <w:rsid w:val="005A60AA"/>
    <w:rsid w:val="005B2A8E"/>
    <w:rsid w:val="005B728B"/>
    <w:rsid w:val="005B7BC0"/>
    <w:rsid w:val="005D1765"/>
    <w:rsid w:val="005E3191"/>
    <w:rsid w:val="00617A9C"/>
    <w:rsid w:val="0062202C"/>
    <w:rsid w:val="00626073"/>
    <w:rsid w:val="00627F75"/>
    <w:rsid w:val="0064403C"/>
    <w:rsid w:val="006506B1"/>
    <w:rsid w:val="00662AF9"/>
    <w:rsid w:val="00662E60"/>
    <w:rsid w:val="00670A33"/>
    <w:rsid w:val="006715CB"/>
    <w:rsid w:val="00672EFC"/>
    <w:rsid w:val="00673EEA"/>
    <w:rsid w:val="00675B19"/>
    <w:rsid w:val="006817BE"/>
    <w:rsid w:val="00692D7A"/>
    <w:rsid w:val="006A3E69"/>
    <w:rsid w:val="006A4706"/>
    <w:rsid w:val="006B07EA"/>
    <w:rsid w:val="006B0D2C"/>
    <w:rsid w:val="006C5741"/>
    <w:rsid w:val="006D159D"/>
    <w:rsid w:val="006D2405"/>
    <w:rsid w:val="006E244F"/>
    <w:rsid w:val="006F04F9"/>
    <w:rsid w:val="006F0975"/>
    <w:rsid w:val="006F1F23"/>
    <w:rsid w:val="006F6574"/>
    <w:rsid w:val="007021A5"/>
    <w:rsid w:val="00704DE7"/>
    <w:rsid w:val="00707696"/>
    <w:rsid w:val="00713077"/>
    <w:rsid w:val="00713266"/>
    <w:rsid w:val="00720841"/>
    <w:rsid w:val="00726950"/>
    <w:rsid w:val="0072751D"/>
    <w:rsid w:val="007278C1"/>
    <w:rsid w:val="00746992"/>
    <w:rsid w:val="007605E0"/>
    <w:rsid w:val="007675EF"/>
    <w:rsid w:val="007714C1"/>
    <w:rsid w:val="007727A3"/>
    <w:rsid w:val="00774969"/>
    <w:rsid w:val="007811FC"/>
    <w:rsid w:val="007853D2"/>
    <w:rsid w:val="00785678"/>
    <w:rsid w:val="00786F38"/>
    <w:rsid w:val="00791CC4"/>
    <w:rsid w:val="00793266"/>
    <w:rsid w:val="007939F9"/>
    <w:rsid w:val="00796DA5"/>
    <w:rsid w:val="007A2091"/>
    <w:rsid w:val="007A5CCD"/>
    <w:rsid w:val="007A6981"/>
    <w:rsid w:val="007A6A11"/>
    <w:rsid w:val="007C01D8"/>
    <w:rsid w:val="007C0D05"/>
    <w:rsid w:val="007D17B9"/>
    <w:rsid w:val="007D18D0"/>
    <w:rsid w:val="007D351D"/>
    <w:rsid w:val="007D672D"/>
    <w:rsid w:val="007E01E2"/>
    <w:rsid w:val="007E6365"/>
    <w:rsid w:val="007F1C71"/>
    <w:rsid w:val="008017D3"/>
    <w:rsid w:val="008043D4"/>
    <w:rsid w:val="00805EC4"/>
    <w:rsid w:val="008104EE"/>
    <w:rsid w:val="00822EC1"/>
    <w:rsid w:val="008355A2"/>
    <w:rsid w:val="00837C58"/>
    <w:rsid w:val="00852856"/>
    <w:rsid w:val="00853698"/>
    <w:rsid w:val="00864D28"/>
    <w:rsid w:val="00866292"/>
    <w:rsid w:val="00867BD1"/>
    <w:rsid w:val="00873025"/>
    <w:rsid w:val="00876F2D"/>
    <w:rsid w:val="00891BE4"/>
    <w:rsid w:val="008A3CB9"/>
    <w:rsid w:val="008C2DEC"/>
    <w:rsid w:val="008D2211"/>
    <w:rsid w:val="008D4065"/>
    <w:rsid w:val="008E4549"/>
    <w:rsid w:val="008F64F1"/>
    <w:rsid w:val="00902E37"/>
    <w:rsid w:val="00905C6A"/>
    <w:rsid w:val="00907AC3"/>
    <w:rsid w:val="00916420"/>
    <w:rsid w:val="00923CE6"/>
    <w:rsid w:val="0092418F"/>
    <w:rsid w:val="009248E2"/>
    <w:rsid w:val="00927165"/>
    <w:rsid w:val="00940DBA"/>
    <w:rsid w:val="009440C0"/>
    <w:rsid w:val="00952B6F"/>
    <w:rsid w:val="00964FEE"/>
    <w:rsid w:val="00983B6A"/>
    <w:rsid w:val="0098545E"/>
    <w:rsid w:val="00995BC8"/>
    <w:rsid w:val="009A08B2"/>
    <w:rsid w:val="009A4657"/>
    <w:rsid w:val="009A5501"/>
    <w:rsid w:val="009A6B0C"/>
    <w:rsid w:val="009B4869"/>
    <w:rsid w:val="009C1F80"/>
    <w:rsid w:val="009D27D9"/>
    <w:rsid w:val="009F07ED"/>
    <w:rsid w:val="00A158E2"/>
    <w:rsid w:val="00A21DAA"/>
    <w:rsid w:val="00A2265D"/>
    <w:rsid w:val="00A25BB3"/>
    <w:rsid w:val="00A36FC3"/>
    <w:rsid w:val="00A42687"/>
    <w:rsid w:val="00A44396"/>
    <w:rsid w:val="00A52738"/>
    <w:rsid w:val="00A57EF3"/>
    <w:rsid w:val="00A67AE5"/>
    <w:rsid w:val="00A7459D"/>
    <w:rsid w:val="00A755E4"/>
    <w:rsid w:val="00A81EB1"/>
    <w:rsid w:val="00A83170"/>
    <w:rsid w:val="00A861B4"/>
    <w:rsid w:val="00A92E96"/>
    <w:rsid w:val="00A93181"/>
    <w:rsid w:val="00AA347B"/>
    <w:rsid w:val="00AB5630"/>
    <w:rsid w:val="00AB5D86"/>
    <w:rsid w:val="00AB7F8D"/>
    <w:rsid w:val="00AC7AF9"/>
    <w:rsid w:val="00AD4893"/>
    <w:rsid w:val="00AD7440"/>
    <w:rsid w:val="00AD78F8"/>
    <w:rsid w:val="00AD7A1F"/>
    <w:rsid w:val="00AE1200"/>
    <w:rsid w:val="00AE5C24"/>
    <w:rsid w:val="00AE675C"/>
    <w:rsid w:val="00AF2990"/>
    <w:rsid w:val="00B00B22"/>
    <w:rsid w:val="00B03C9B"/>
    <w:rsid w:val="00B122E9"/>
    <w:rsid w:val="00B207AE"/>
    <w:rsid w:val="00B20F30"/>
    <w:rsid w:val="00B25425"/>
    <w:rsid w:val="00B3441C"/>
    <w:rsid w:val="00B35C0E"/>
    <w:rsid w:val="00B51DB6"/>
    <w:rsid w:val="00B53136"/>
    <w:rsid w:val="00B65B00"/>
    <w:rsid w:val="00B9377C"/>
    <w:rsid w:val="00B966C9"/>
    <w:rsid w:val="00BA0DDF"/>
    <w:rsid w:val="00BA0EFC"/>
    <w:rsid w:val="00BB40BE"/>
    <w:rsid w:val="00BC203E"/>
    <w:rsid w:val="00BC6857"/>
    <w:rsid w:val="00BC6FC1"/>
    <w:rsid w:val="00BC7F0F"/>
    <w:rsid w:val="00BE020E"/>
    <w:rsid w:val="00BE76FF"/>
    <w:rsid w:val="00BF16F6"/>
    <w:rsid w:val="00C0416A"/>
    <w:rsid w:val="00C076D5"/>
    <w:rsid w:val="00C125C4"/>
    <w:rsid w:val="00C130BB"/>
    <w:rsid w:val="00C17CD7"/>
    <w:rsid w:val="00C274F6"/>
    <w:rsid w:val="00C3118B"/>
    <w:rsid w:val="00C3242C"/>
    <w:rsid w:val="00C35805"/>
    <w:rsid w:val="00C45537"/>
    <w:rsid w:val="00C549C0"/>
    <w:rsid w:val="00C57476"/>
    <w:rsid w:val="00CA0889"/>
    <w:rsid w:val="00CA39FA"/>
    <w:rsid w:val="00CA4F9C"/>
    <w:rsid w:val="00CA5727"/>
    <w:rsid w:val="00CA5902"/>
    <w:rsid w:val="00CB0A10"/>
    <w:rsid w:val="00CB4542"/>
    <w:rsid w:val="00CC454B"/>
    <w:rsid w:val="00CE4E92"/>
    <w:rsid w:val="00CF7ECB"/>
    <w:rsid w:val="00D0040D"/>
    <w:rsid w:val="00D02BE8"/>
    <w:rsid w:val="00D17B5F"/>
    <w:rsid w:val="00D2045A"/>
    <w:rsid w:val="00D27A83"/>
    <w:rsid w:val="00D27F48"/>
    <w:rsid w:val="00D41E86"/>
    <w:rsid w:val="00D43854"/>
    <w:rsid w:val="00D44727"/>
    <w:rsid w:val="00D4523B"/>
    <w:rsid w:val="00D500BA"/>
    <w:rsid w:val="00D52EA1"/>
    <w:rsid w:val="00D60FEF"/>
    <w:rsid w:val="00D6381E"/>
    <w:rsid w:val="00D7708F"/>
    <w:rsid w:val="00D85678"/>
    <w:rsid w:val="00D96A6B"/>
    <w:rsid w:val="00DA0986"/>
    <w:rsid w:val="00DA3A59"/>
    <w:rsid w:val="00DB0963"/>
    <w:rsid w:val="00DB684D"/>
    <w:rsid w:val="00DD10AB"/>
    <w:rsid w:val="00DD4B1B"/>
    <w:rsid w:val="00DE0790"/>
    <w:rsid w:val="00DE0AFF"/>
    <w:rsid w:val="00DE4718"/>
    <w:rsid w:val="00DE4A9A"/>
    <w:rsid w:val="00DE6911"/>
    <w:rsid w:val="00DF01C4"/>
    <w:rsid w:val="00E03255"/>
    <w:rsid w:val="00E14A76"/>
    <w:rsid w:val="00E21FF6"/>
    <w:rsid w:val="00E22CDF"/>
    <w:rsid w:val="00E27276"/>
    <w:rsid w:val="00E34D54"/>
    <w:rsid w:val="00E54059"/>
    <w:rsid w:val="00E66D11"/>
    <w:rsid w:val="00E70019"/>
    <w:rsid w:val="00E80A6A"/>
    <w:rsid w:val="00E8162E"/>
    <w:rsid w:val="00E8423E"/>
    <w:rsid w:val="00E84509"/>
    <w:rsid w:val="00E97A7B"/>
    <w:rsid w:val="00EA3262"/>
    <w:rsid w:val="00EA7CC8"/>
    <w:rsid w:val="00EB4692"/>
    <w:rsid w:val="00EB5FBD"/>
    <w:rsid w:val="00EC32B4"/>
    <w:rsid w:val="00EC57FD"/>
    <w:rsid w:val="00ED3BEC"/>
    <w:rsid w:val="00ED77D5"/>
    <w:rsid w:val="00EE5CCD"/>
    <w:rsid w:val="00EF3FB1"/>
    <w:rsid w:val="00EF5D90"/>
    <w:rsid w:val="00F05484"/>
    <w:rsid w:val="00F1477C"/>
    <w:rsid w:val="00F164C6"/>
    <w:rsid w:val="00F261A9"/>
    <w:rsid w:val="00F33872"/>
    <w:rsid w:val="00F4402C"/>
    <w:rsid w:val="00F478FF"/>
    <w:rsid w:val="00F50D8A"/>
    <w:rsid w:val="00F60B93"/>
    <w:rsid w:val="00F704D5"/>
    <w:rsid w:val="00F7140D"/>
    <w:rsid w:val="00F749EB"/>
    <w:rsid w:val="00F76984"/>
    <w:rsid w:val="00F77BA1"/>
    <w:rsid w:val="00F82816"/>
    <w:rsid w:val="00F87229"/>
    <w:rsid w:val="00FA617B"/>
    <w:rsid w:val="00FA780A"/>
    <w:rsid w:val="00FB7F69"/>
    <w:rsid w:val="00FC5130"/>
    <w:rsid w:val="00FC6F07"/>
    <w:rsid w:val="00FD5648"/>
    <w:rsid w:val="00FE01D3"/>
    <w:rsid w:val="00FE784D"/>
    <w:rsid w:val="00FF5A95"/>
    <w:rsid w:val="00FF6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42"/>
    <w:pPr>
      <w:jc w:val="both"/>
    </w:pPr>
    <w:rPr>
      <w:rFonts w:asciiTheme="majorHAnsi" w:hAnsiTheme="majorHAnsi"/>
      <w:sz w:val="22"/>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link w:val="Heading2Char"/>
    <w:uiPriority w:val="9"/>
    <w:unhideWhenUsed/>
    <w:qFormat/>
    <w:rsid w:val="00F164C6"/>
    <w:pPr>
      <w:keepNext/>
      <w:keepLines/>
      <w:spacing w:after="120"/>
      <w:outlineLvl w:val="1"/>
    </w:pPr>
    <w:rPr>
      <w:rFonts w:eastAsiaTheme="majorEastAsia" w:cstheme="majorBidi"/>
      <w:b/>
      <w:bCs/>
      <w:color w:val="41838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qFormat/>
    <w:rsid w:val="003B0E94"/>
    <w:pPr>
      <w:jc w:val="left"/>
    </w:pPr>
    <w:rPr>
      <w:b/>
      <w:color w:val="418382"/>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Bullet">
    <w:name w:val="List Bullet"/>
    <w:basedOn w:val="Normal"/>
    <w:uiPriority w:val="99"/>
    <w:rsid w:val="007D18D0"/>
    <w:pPr>
      <w:numPr>
        <w:numId w:val="5"/>
      </w:numPr>
      <w:ind w:left="1134" w:hanging="425"/>
      <w:contextualSpacing/>
    </w:pPr>
  </w:style>
  <w:style w:type="paragraph" w:styleId="Header">
    <w:name w:val="header"/>
    <w:basedOn w:val="Normal"/>
    <w:link w:val="HeaderChar"/>
    <w:uiPriority w:val="99"/>
    <w:unhideWhenUsed/>
    <w:rsid w:val="0003551F"/>
    <w:pPr>
      <w:tabs>
        <w:tab w:val="center" w:pos="4513"/>
        <w:tab w:val="right" w:pos="9026"/>
      </w:tabs>
    </w:pPr>
  </w:style>
  <w:style w:type="character" w:customStyle="1" w:styleId="HeaderChar">
    <w:name w:val="Header Char"/>
    <w:link w:val="Header"/>
    <w:uiPriority w:val="99"/>
    <w:rsid w:val="0003551F"/>
    <w:rPr>
      <w:rFonts w:ascii="Arial" w:hAnsi="Arial"/>
    </w:rPr>
  </w:style>
  <w:style w:type="paragraph" w:styleId="Footer">
    <w:name w:val="footer"/>
    <w:basedOn w:val="Normal"/>
    <w:link w:val="FooterChar"/>
    <w:uiPriority w:val="99"/>
    <w:unhideWhenUsed/>
    <w:rsid w:val="0003551F"/>
    <w:pPr>
      <w:tabs>
        <w:tab w:val="center" w:pos="4513"/>
        <w:tab w:val="right" w:pos="9026"/>
      </w:tabs>
    </w:pPr>
  </w:style>
  <w:style w:type="character" w:customStyle="1" w:styleId="FooterChar">
    <w:name w:val="Footer Char"/>
    <w:link w:val="Footer"/>
    <w:uiPriority w:val="99"/>
    <w:rsid w:val="0003551F"/>
    <w:rPr>
      <w:rFonts w:ascii="Arial" w:hAnsi="Arial"/>
    </w:rPr>
  </w:style>
  <w:style w:type="paragraph" w:styleId="BalloonText">
    <w:name w:val="Balloon Text"/>
    <w:basedOn w:val="Normal"/>
    <w:link w:val="BalloonTextChar"/>
    <w:uiPriority w:val="99"/>
    <w:semiHidden/>
    <w:unhideWhenUsed/>
    <w:rsid w:val="0003551F"/>
    <w:rPr>
      <w:rFonts w:ascii="Tahoma" w:hAnsi="Tahoma" w:cs="Tahoma"/>
      <w:sz w:val="16"/>
      <w:szCs w:val="16"/>
    </w:rPr>
  </w:style>
  <w:style w:type="character" w:customStyle="1" w:styleId="BalloonTextChar">
    <w:name w:val="Balloon Text Char"/>
    <w:link w:val="BalloonText"/>
    <w:uiPriority w:val="99"/>
    <w:semiHidden/>
    <w:rsid w:val="0003551F"/>
    <w:rPr>
      <w:rFonts w:ascii="Tahoma" w:hAnsi="Tahoma" w:cs="Tahoma"/>
      <w:sz w:val="16"/>
      <w:szCs w:val="16"/>
    </w:rPr>
  </w:style>
  <w:style w:type="character" w:customStyle="1" w:styleId="Heading2Char">
    <w:name w:val="Heading 2 Char"/>
    <w:basedOn w:val="DefaultParagraphFont"/>
    <w:link w:val="Heading2"/>
    <w:uiPriority w:val="9"/>
    <w:rsid w:val="00F164C6"/>
    <w:rPr>
      <w:rFonts w:asciiTheme="majorHAnsi" w:eastAsiaTheme="majorEastAsia" w:hAnsiTheme="majorHAnsi" w:cstheme="majorBidi"/>
      <w:b/>
      <w:bCs/>
      <w:color w:val="418382"/>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42"/>
    <w:pPr>
      <w:jc w:val="both"/>
    </w:pPr>
    <w:rPr>
      <w:rFonts w:asciiTheme="majorHAnsi" w:hAnsiTheme="majorHAnsi"/>
      <w:sz w:val="22"/>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link w:val="Heading2Char"/>
    <w:uiPriority w:val="9"/>
    <w:unhideWhenUsed/>
    <w:qFormat/>
    <w:rsid w:val="00F164C6"/>
    <w:pPr>
      <w:keepNext/>
      <w:keepLines/>
      <w:spacing w:after="120"/>
      <w:outlineLvl w:val="1"/>
    </w:pPr>
    <w:rPr>
      <w:rFonts w:eastAsiaTheme="majorEastAsia" w:cstheme="majorBidi"/>
      <w:b/>
      <w:bCs/>
      <w:color w:val="41838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wis721 BlkEx BT" w:hAnsi="Swis721 BlkEx BT"/>
      <w:color w:val="0000FF"/>
      <w:sz w:val="72"/>
    </w:rPr>
  </w:style>
  <w:style w:type="paragraph" w:styleId="Subtitle">
    <w:name w:val="Subtitle"/>
    <w:basedOn w:val="Normal"/>
    <w:qFormat/>
    <w:rsid w:val="003B0E94"/>
    <w:pPr>
      <w:jc w:val="left"/>
    </w:pPr>
    <w:rPr>
      <w:b/>
      <w:color w:val="418382"/>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ListBullet">
    <w:name w:val="List Bullet"/>
    <w:basedOn w:val="Normal"/>
    <w:uiPriority w:val="99"/>
    <w:rsid w:val="007D18D0"/>
    <w:pPr>
      <w:numPr>
        <w:numId w:val="5"/>
      </w:numPr>
      <w:ind w:left="1134" w:hanging="425"/>
      <w:contextualSpacing/>
    </w:pPr>
  </w:style>
  <w:style w:type="paragraph" w:styleId="Header">
    <w:name w:val="header"/>
    <w:basedOn w:val="Normal"/>
    <w:link w:val="HeaderChar"/>
    <w:uiPriority w:val="99"/>
    <w:unhideWhenUsed/>
    <w:rsid w:val="0003551F"/>
    <w:pPr>
      <w:tabs>
        <w:tab w:val="center" w:pos="4513"/>
        <w:tab w:val="right" w:pos="9026"/>
      </w:tabs>
    </w:pPr>
  </w:style>
  <w:style w:type="character" w:customStyle="1" w:styleId="HeaderChar">
    <w:name w:val="Header Char"/>
    <w:link w:val="Header"/>
    <w:uiPriority w:val="99"/>
    <w:rsid w:val="0003551F"/>
    <w:rPr>
      <w:rFonts w:ascii="Arial" w:hAnsi="Arial"/>
    </w:rPr>
  </w:style>
  <w:style w:type="paragraph" w:styleId="Footer">
    <w:name w:val="footer"/>
    <w:basedOn w:val="Normal"/>
    <w:link w:val="FooterChar"/>
    <w:uiPriority w:val="99"/>
    <w:unhideWhenUsed/>
    <w:rsid w:val="0003551F"/>
    <w:pPr>
      <w:tabs>
        <w:tab w:val="center" w:pos="4513"/>
        <w:tab w:val="right" w:pos="9026"/>
      </w:tabs>
    </w:pPr>
  </w:style>
  <w:style w:type="character" w:customStyle="1" w:styleId="FooterChar">
    <w:name w:val="Footer Char"/>
    <w:link w:val="Footer"/>
    <w:uiPriority w:val="99"/>
    <w:rsid w:val="0003551F"/>
    <w:rPr>
      <w:rFonts w:ascii="Arial" w:hAnsi="Arial"/>
    </w:rPr>
  </w:style>
  <w:style w:type="paragraph" w:styleId="BalloonText">
    <w:name w:val="Balloon Text"/>
    <w:basedOn w:val="Normal"/>
    <w:link w:val="BalloonTextChar"/>
    <w:uiPriority w:val="99"/>
    <w:semiHidden/>
    <w:unhideWhenUsed/>
    <w:rsid w:val="0003551F"/>
    <w:rPr>
      <w:rFonts w:ascii="Tahoma" w:hAnsi="Tahoma" w:cs="Tahoma"/>
      <w:sz w:val="16"/>
      <w:szCs w:val="16"/>
    </w:rPr>
  </w:style>
  <w:style w:type="character" w:customStyle="1" w:styleId="BalloonTextChar">
    <w:name w:val="Balloon Text Char"/>
    <w:link w:val="BalloonText"/>
    <w:uiPriority w:val="99"/>
    <w:semiHidden/>
    <w:rsid w:val="0003551F"/>
    <w:rPr>
      <w:rFonts w:ascii="Tahoma" w:hAnsi="Tahoma" w:cs="Tahoma"/>
      <w:sz w:val="16"/>
      <w:szCs w:val="16"/>
    </w:rPr>
  </w:style>
  <w:style w:type="character" w:customStyle="1" w:styleId="Heading2Char">
    <w:name w:val="Heading 2 Char"/>
    <w:basedOn w:val="DefaultParagraphFont"/>
    <w:link w:val="Heading2"/>
    <w:uiPriority w:val="9"/>
    <w:rsid w:val="00F164C6"/>
    <w:rPr>
      <w:rFonts w:asciiTheme="majorHAnsi" w:eastAsiaTheme="majorEastAsia" w:hAnsiTheme="majorHAnsi" w:cstheme="majorBidi"/>
      <w:b/>
      <w:bCs/>
      <w:color w:val="41838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88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internationalpanel@plmig.com?subject=Professional%20PLM%252International%20Pane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A23C-4433-4D7F-B0A7-A3CCB3FA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PLMIG</vt:lpstr>
    </vt:vector>
  </TitlesOfParts>
  <Company>Tempest Contracting Limited</Company>
  <LinksUpToDate>false</LinksUpToDate>
  <CharactersWithSpaces>6280</CharactersWithSpaces>
  <SharedDoc>false</SharedDoc>
  <HLinks>
    <vt:vector size="6" baseType="variant">
      <vt:variant>
        <vt:i4>5636098</vt:i4>
      </vt:variant>
      <vt:variant>
        <vt:i4>0</vt:i4>
      </vt:variant>
      <vt:variant>
        <vt:i4>0</vt:i4>
      </vt:variant>
      <vt:variant>
        <vt:i4>5</vt:i4>
      </vt:variant>
      <vt:variant>
        <vt:lpwstr>mailto:network_event@plmig.com?subject=Professional%20PLM%20Networking%20Day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PLMIG</dc:title>
  <dc:creator>Roger Tempest</dc:creator>
  <cp:lastModifiedBy>Roger Tempest</cp:lastModifiedBy>
  <cp:revision>2</cp:revision>
  <cp:lastPrinted>2018-07-05T08:39:00Z</cp:lastPrinted>
  <dcterms:created xsi:type="dcterms:W3CDTF">2025-09-07T13:41:00Z</dcterms:created>
  <dcterms:modified xsi:type="dcterms:W3CDTF">2025-09-07T13:41:00Z</dcterms:modified>
</cp:coreProperties>
</file>